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highlight w:val="none"/>
          <w:lang w:val="en-US" w:eastAsia="zh-CN"/>
        </w:rPr>
      </w:pPr>
      <w:bookmarkStart w:id="0" w:name="_Ref494746248"/>
      <w:r>
        <w:rPr>
          <w:rFonts w:cs="Arial"/>
          <w:bCs/>
          <w:sz w:val="22"/>
          <w:szCs w:val="22"/>
          <w:lang w:eastAsia="zh-CN"/>
        </w:rPr>
        <w:t>3GPP TSG RAN WG1 #1</w:t>
      </w:r>
      <w:r>
        <w:rPr>
          <w:rFonts w:hint="eastAsia" w:cs="Arial"/>
          <w:bCs/>
          <w:sz w:val="22"/>
          <w:szCs w:val="22"/>
          <w:lang w:val="en-US" w:eastAsia="zh-CN"/>
        </w:rPr>
        <w:t>10bis-e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R1-2209461</w:t>
      </w:r>
    </w:p>
    <w:p>
      <w:pPr>
        <w:tabs>
          <w:tab w:val="center" w:pos="4536"/>
          <w:tab w:val="right" w:pos="9072"/>
        </w:tabs>
      </w:pPr>
      <w:r>
        <w:rPr>
          <w:rFonts w:ascii="Arial" w:hAnsi="Arial" w:eastAsia="宋体" w:cs="Arial"/>
          <w:b/>
          <w:bCs/>
          <w:sz w:val="22"/>
          <w:szCs w:val="22"/>
          <w:lang w:val="en-US" w:eastAsia="ja-JP" w:bidi="ar-SA"/>
        </w:rPr>
        <w:t>e-Meeting, October 10</w:t>
      </w:r>
      <w:r>
        <w:rPr>
          <w:rFonts w:hint="eastAsia" w:ascii="Arial" w:hAnsi="Arial" w:eastAsia="宋体" w:cs="Arial"/>
          <w:b/>
          <w:bCs/>
          <w:sz w:val="22"/>
          <w:szCs w:val="22"/>
          <w:vertAlign w:val="superscript"/>
          <w:lang w:val="en-US" w:eastAsia="ko-KR" w:bidi="ar-SA"/>
        </w:rPr>
        <w:t>th</w:t>
      </w:r>
      <w:r>
        <w:rPr>
          <w:rFonts w:ascii="Arial" w:hAnsi="Arial" w:eastAsia="宋体" w:cs="Arial"/>
          <w:b/>
          <w:bCs/>
          <w:sz w:val="22"/>
          <w:szCs w:val="22"/>
          <w:lang w:val="en-US" w:eastAsia="ja-JP" w:bidi="ar-SA"/>
        </w:rPr>
        <w:t xml:space="preserve"> – 19</w:t>
      </w:r>
      <w:r>
        <w:rPr>
          <w:rFonts w:ascii="Arial" w:hAnsi="Arial" w:eastAsia="宋体" w:cs="Arial"/>
          <w:b/>
          <w:bCs/>
          <w:sz w:val="22"/>
          <w:szCs w:val="22"/>
          <w:vertAlign w:val="superscript"/>
          <w:lang w:val="en-US" w:eastAsia="ja-JP" w:bidi="ar-SA"/>
        </w:rPr>
        <w:t>th</w:t>
      </w:r>
      <w:r>
        <w:rPr>
          <w:rFonts w:ascii="Arial" w:hAnsi="Arial" w:eastAsia="宋体" w:cs="Arial"/>
          <w:b/>
          <w:bCs/>
          <w:sz w:val="22"/>
          <w:szCs w:val="22"/>
          <w:lang w:val="en-US" w:eastAsia="ja-JP" w:bidi="ar-SA"/>
        </w:rPr>
        <w:t>, 2022</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RAN4 LS on DMRS bundling</w:t>
      </w:r>
    </w:p>
    <w:p>
      <w:pPr>
        <w:tabs>
          <w:tab w:val="left" w:pos="1985"/>
        </w:tabs>
        <w:spacing w:after="0"/>
        <w:rPr>
          <w:rFonts w:hint="eastAsia" w:ascii="Arial" w:hAnsi="Arial" w:eastAsia="宋体"/>
          <w:b/>
          <w:lang w:eastAsia="zh-CN"/>
        </w:rPr>
      </w:pPr>
      <w:r>
        <w:rPr>
          <w:rFonts w:ascii="Arial" w:hAnsi="Arial"/>
          <w:b/>
        </w:rPr>
        <w:t>Agenda item:</w:t>
      </w:r>
      <w:r>
        <w:rPr>
          <w:rFonts w:ascii="Arial" w:hAnsi="Arial"/>
          <w:b/>
        </w:rPr>
        <w:tab/>
      </w:r>
      <w:r>
        <w:rPr>
          <w:rFonts w:hint="eastAsia" w:ascii="Arial" w:hAnsi="Arial"/>
          <w:b/>
          <w:lang w:val="en-US" w:eastAsia="zh-CN"/>
        </w:rPr>
        <w:t>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w:t>
      </w:r>
    </w:p>
    <w:p>
      <w:pPr>
        <w:pStyle w:val="2"/>
        <w:textAlignment w:val="auto"/>
      </w:pPr>
      <w:bookmarkStart w:id="2" w:name="_Ref4817"/>
      <w:r>
        <w:t>Introduction</w:t>
      </w:r>
      <w:bookmarkEnd w:id="0"/>
      <w:bookmarkEnd w:id="2"/>
    </w:p>
    <w:p>
      <w:pPr>
        <w:rPr>
          <w:rFonts w:hint="eastAsia"/>
          <w:lang w:val="en-US" w:eastAsia="zh-CN"/>
        </w:rPr>
      </w:pPr>
      <w:r>
        <w:rPr>
          <w:rFonts w:hint="eastAsia"/>
          <w:lang w:val="en-US" w:eastAsia="zh-CN"/>
        </w:rPr>
        <w:t xml:space="preserve">In RAN1#110, </w:t>
      </w:r>
      <w:r>
        <w:rPr>
          <w:lang w:val="en-US" w:eastAsia="ja-JP"/>
        </w:rPr>
        <w:t>RAN4 LS R1-2205715(R4-2211225)</w:t>
      </w:r>
      <w:r>
        <w:rPr>
          <w:rFonts w:hint="eastAsia"/>
          <w:lang w:val="en-US" w:eastAsia="zh-CN"/>
        </w:rPr>
        <w:t xml:space="preserve"> on DMRS bundling was discussed, while RAN1 was not able to answer all the questions from RAN4 and concluded to further discuss in RAN1#110bis-e. </w:t>
      </w:r>
    </w:p>
    <w:p>
      <w:pPr>
        <w:rPr>
          <w:rFonts w:hint="default"/>
          <w:lang w:val="en-US" w:eastAsia="zh-CN"/>
        </w:rPr>
      </w:pPr>
      <w:r>
        <w:rPr>
          <w:rFonts w:hint="eastAsia"/>
          <w:lang w:val="en-US" w:eastAsia="zh-CN"/>
        </w:rPr>
        <w:t xml:space="preserve">Meanwhile, the issue was also discussed in RAN#97-e meeting and the following conclusion was reached.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bidi w:val="0"/>
              <w:spacing w:before="120" w:line="280" w:lineRule="atLeast"/>
              <w:rPr>
                <w:rFonts w:hint="default"/>
                <w:vertAlign w:val="baseline"/>
                <w:lang w:val="en-US" w:eastAsia="zh-CN"/>
              </w:rPr>
            </w:pPr>
            <w:r>
              <w:rPr>
                <w:rFonts w:hint="default"/>
                <w:b/>
                <w:bCs/>
              </w:rPr>
              <w:t>Conclusion</w:t>
            </w:r>
            <w:r>
              <w:rPr>
                <w:rFonts w:hint="default"/>
              </w:rPr>
              <w:t>: On the issue of supporting DMRS bundling in case of UL operation over multiple carriers, WGs are to continue with their work to resolve the issue (for radio configurations included in R4-2211225) before RAN#98e under the assumption of no RAN1 specification change.</w:t>
            </w:r>
          </w:p>
        </w:tc>
      </w:tr>
    </w:tbl>
    <w:p>
      <w:pPr>
        <w:rPr>
          <w:rFonts w:hint="default"/>
          <w:lang w:val="en-US" w:eastAsia="zh-CN"/>
        </w:rPr>
      </w:pPr>
    </w:p>
    <w:p>
      <w:pPr>
        <w:rPr>
          <w:rFonts w:hint="default" w:eastAsia="宋体"/>
          <w:lang w:val="en-US" w:eastAsia="zh-CN"/>
        </w:rPr>
      </w:pPr>
      <w:r>
        <w:rPr>
          <w:rFonts w:hint="eastAsia"/>
          <w:lang w:val="en-US" w:eastAsia="zh-CN"/>
        </w:rPr>
        <w:t xml:space="preserve">In this contribution, we provide our views on the remaining cases of </w:t>
      </w:r>
      <w:r>
        <w:rPr>
          <w:rFonts w:hint="default"/>
        </w:rPr>
        <w:t>supporting DMRS bundling</w:t>
      </w:r>
      <w:r>
        <w:rPr>
          <w:rFonts w:hint="eastAsia"/>
          <w:lang w:val="en-US" w:eastAsia="zh-CN"/>
        </w:rPr>
        <w:t xml:space="preserve"> in case of </w:t>
      </w:r>
      <w:r>
        <w:rPr>
          <w:rFonts w:hint="default"/>
        </w:rPr>
        <w:t>multiple carriers</w:t>
      </w:r>
      <w:r>
        <w:rPr>
          <w:rFonts w:hint="eastAsia"/>
          <w:lang w:val="en-US" w:eastAsia="zh-CN"/>
        </w:rPr>
        <w:t xml:space="preserve">. </w:t>
      </w:r>
      <w:r>
        <w:rPr>
          <w:rFonts w:hint="eastAsia"/>
          <w:highlight w:val="none"/>
          <w:lang w:val="en-US" w:eastAsia="zh-CN"/>
        </w:rPr>
        <w:t xml:space="preserve">Correspondingly, the draft reply LS is provided in our contribution [2]. </w:t>
      </w:r>
    </w:p>
    <w:p>
      <w:pPr>
        <w:pStyle w:val="2"/>
        <w:rPr>
          <w:lang w:eastAsia="zh-CN"/>
        </w:rPr>
      </w:pPr>
      <w:r>
        <w:rPr>
          <w:lang w:eastAsia="zh-CN"/>
        </w:rPr>
        <w:t>Discussion</w:t>
      </w:r>
      <w:r>
        <w:rPr>
          <w:rFonts w:hint="eastAsia"/>
          <w:lang w:val="en-US" w:eastAsia="zh-CN"/>
        </w:rPr>
        <w:t xml:space="preserve"> </w:t>
      </w:r>
    </w:p>
    <w:p>
      <w:pPr>
        <w:bidi w:val="0"/>
        <w:rPr>
          <w:rFonts w:hint="eastAsia"/>
          <w:lang w:val="en-US" w:eastAsia="zh-CN"/>
        </w:rPr>
      </w:pPr>
      <w:r>
        <w:rPr>
          <w:rFonts w:hint="eastAsia"/>
          <w:lang w:val="en-US" w:eastAsia="zh-CN"/>
        </w:rPr>
        <w:t xml:space="preserve">Based on </w:t>
      </w:r>
      <w:r>
        <w:rPr>
          <w:lang w:val="en-US" w:eastAsia="ja-JP"/>
        </w:rPr>
        <w:t>RAN4 LS in R1-2205715(R4-2211225)</w:t>
      </w:r>
      <w:r>
        <w:rPr>
          <w:rFonts w:hint="eastAsia"/>
          <w:lang w:val="en-US" w:eastAsia="zh-CN"/>
        </w:rPr>
        <w:t xml:space="preserve">, </w:t>
      </w:r>
      <w:r>
        <w:rPr>
          <w:lang w:val="en-US" w:eastAsia="zh-CN"/>
        </w:rPr>
        <w:t>RAN4 has agreed to define requirements for the following radio configurations for Rel-17 DMRS bundling</w:t>
      </w:r>
      <w:r>
        <w:rPr>
          <w:rFonts w:hint="eastAsia"/>
          <w:lang w:val="en-US" w:eastAsia="zh-CN"/>
        </w:rPr>
        <w:t xml:space="preserve">. And the requirements for </w:t>
      </w:r>
      <w:r>
        <w:rPr>
          <w:lang w:val="en-US" w:eastAsia="zh-CN"/>
        </w:rPr>
        <w:t xml:space="preserve">FR1+FR2 </w:t>
      </w:r>
      <w:r>
        <w:rPr>
          <w:rFonts w:hint="eastAsia"/>
          <w:lang w:val="en-US" w:eastAsia="zh-CN"/>
        </w:rPr>
        <w:t xml:space="preserve">UL </w:t>
      </w:r>
      <w:r>
        <w:rPr>
          <w:lang w:val="en-US" w:eastAsia="zh-CN"/>
        </w:rPr>
        <w:t>CA</w:t>
      </w:r>
      <w:r>
        <w:rPr>
          <w:rFonts w:hint="eastAsia"/>
          <w:lang w:val="en-US" w:eastAsia="zh-CN"/>
        </w:rPr>
        <w:t xml:space="preserve">/DC have been captured in Clause </w:t>
      </w:r>
      <w:r>
        <w:rPr>
          <w:lang w:val="en-US" w:eastAsia="ja-JP"/>
        </w:rPr>
        <w:t>6.4A.2</w:t>
      </w:r>
      <w:r>
        <w:rPr>
          <w:rFonts w:hint="eastAsia"/>
          <w:lang w:val="en-US" w:eastAsia="zh-CN"/>
        </w:rPr>
        <w:t xml:space="preserve"> of </w:t>
      </w:r>
      <w:r>
        <w:rPr>
          <w:lang w:val="en-US" w:eastAsia="ja-JP"/>
        </w:rPr>
        <w:t>TS 38.101-3</w:t>
      </w:r>
      <w:r>
        <w:rPr>
          <w:rFonts w:hint="eastAsia"/>
          <w:lang w:val="en-US" w:eastAsia="zh-CN"/>
        </w:rPr>
        <w:t>.</w:t>
      </w:r>
    </w:p>
    <w:p>
      <w:pPr>
        <w:numPr>
          <w:ilvl w:val="0"/>
          <w:numId w:val="9"/>
        </w:numPr>
        <w:bidi w:val="0"/>
        <w:ind w:left="840" w:leftChars="0" w:hanging="420" w:firstLineChars="0"/>
        <w:rPr>
          <w:rFonts w:hint="eastAsia"/>
          <w:lang w:val="en-US" w:eastAsia="zh-CN"/>
        </w:rPr>
      </w:pPr>
      <w:r>
        <w:rPr>
          <w:rFonts w:hint="eastAsia"/>
          <w:lang w:val="en-US" w:eastAsia="zh-CN"/>
        </w:rPr>
        <w:t xml:space="preserve"> FR1+FR2 UL CA, FR1+FR2 DC, and EN-DC with NR on FR2. DMRS bundling configuration is limited to one uplink NR carrier in total on all FRs at a time.</w:t>
      </w:r>
    </w:p>
    <w:p>
      <w:pPr>
        <w:numPr>
          <w:ilvl w:val="0"/>
          <w:numId w:val="9"/>
        </w:numPr>
        <w:bidi w:val="0"/>
        <w:ind w:left="840" w:leftChars="0" w:hanging="420" w:firstLineChars="0"/>
        <w:rPr>
          <w:rFonts w:hint="eastAsia"/>
          <w:lang w:val="en-US" w:eastAsia="zh-CN"/>
        </w:rPr>
      </w:pPr>
      <w:r>
        <w:rPr>
          <w:rFonts w:hint="eastAsia"/>
          <w:lang w:val="en-US" w:eastAsia="zh-CN"/>
        </w:rPr>
        <w:t xml:space="preserve"> FR1 inter-band DL CA with a </w:t>
      </w:r>
      <w:r>
        <w:rPr>
          <w:rFonts w:hint="default"/>
          <w:lang w:val="en-US" w:eastAsia="zh-CN"/>
        </w:rPr>
        <w:t>‘</w:t>
      </w:r>
      <w:r>
        <w:rPr>
          <w:rFonts w:hint="eastAsia"/>
          <w:lang w:val="en-US" w:eastAsia="zh-CN"/>
        </w:rPr>
        <w:t>single</w:t>
      </w:r>
      <w:r>
        <w:rPr>
          <w:rFonts w:hint="default"/>
          <w:lang w:val="en-US" w:eastAsia="zh-CN"/>
        </w:rPr>
        <w:t>’</w:t>
      </w:r>
      <w:r>
        <w:rPr>
          <w:rFonts w:hint="eastAsia"/>
          <w:lang w:val="en-US" w:eastAsia="zh-CN"/>
        </w:rPr>
        <w:t xml:space="preserve"> uplink band configured, meaning no switching to transmit SRS on another carrier.</w:t>
      </w:r>
    </w:p>
    <w:p>
      <w:pPr>
        <w:bidi w:val="0"/>
        <w:rPr>
          <w:rFonts w:hint="default"/>
          <w:lang w:val="en-US" w:eastAsia="zh-CN"/>
        </w:rPr>
      </w:pPr>
      <w:r>
        <w:rPr>
          <w:rFonts w:hint="eastAsia"/>
          <w:lang w:val="en-US" w:eastAsia="zh-CN"/>
        </w:rPr>
        <w:t xml:space="preserve">For the following </w:t>
      </w:r>
      <w:r>
        <w:rPr>
          <w:lang w:val="en-US" w:eastAsia="zh-CN"/>
        </w:rPr>
        <w:t>radio configurations</w:t>
      </w:r>
      <w:r>
        <w:rPr>
          <w:rFonts w:hint="eastAsia"/>
          <w:lang w:val="en-US" w:eastAsia="zh-CN"/>
        </w:rPr>
        <w:t xml:space="preserve">, RAN4 will further discuss the requirements according to RAN plenary decision. </w:t>
      </w:r>
    </w:p>
    <w:p>
      <w:pPr>
        <w:numPr>
          <w:ilvl w:val="0"/>
          <w:numId w:val="9"/>
        </w:numPr>
        <w:bidi w:val="0"/>
        <w:ind w:left="840" w:leftChars="0" w:hanging="420" w:firstLineChars="0"/>
        <w:rPr>
          <w:rFonts w:hint="eastAsia"/>
          <w:lang w:val="en-US" w:eastAsia="zh-CN"/>
        </w:rPr>
      </w:pPr>
      <w:r>
        <w:rPr>
          <w:rFonts w:hint="eastAsia"/>
          <w:lang w:val="en-US" w:eastAsia="zh-CN"/>
        </w:rPr>
        <w:t xml:space="preserve"> DL CA with </w:t>
      </w:r>
      <w:r>
        <w:rPr>
          <w:rFonts w:hint="default"/>
          <w:lang w:val="en-US" w:eastAsia="zh-CN"/>
        </w:rPr>
        <w:t>‘</w:t>
      </w:r>
      <w:r>
        <w:rPr>
          <w:rFonts w:hint="eastAsia"/>
          <w:lang w:val="en-US" w:eastAsia="zh-CN"/>
        </w:rPr>
        <w:t>additional</w:t>
      </w:r>
      <w:r>
        <w:rPr>
          <w:rFonts w:hint="default"/>
          <w:lang w:val="en-US" w:eastAsia="zh-CN"/>
        </w:rPr>
        <w:t>’</w:t>
      </w:r>
      <w:r>
        <w:rPr>
          <w:rFonts w:hint="eastAsia"/>
          <w:lang w:val="en-US" w:eastAsia="zh-CN"/>
        </w:rPr>
        <w:t xml:space="preserve"> UL carrier configured with SRS only (i.e. no PUCCH/PUSCH configured)</w:t>
      </w:r>
    </w:p>
    <w:p>
      <w:pPr>
        <w:numPr>
          <w:ilvl w:val="0"/>
          <w:numId w:val="9"/>
        </w:numPr>
        <w:bidi w:val="0"/>
        <w:ind w:left="840" w:leftChars="0" w:hanging="420" w:firstLineChars="0"/>
        <w:rPr>
          <w:rFonts w:hint="eastAsia"/>
          <w:lang w:val="en-US" w:eastAsia="zh-CN"/>
        </w:rPr>
      </w:pPr>
      <w:r>
        <w:rPr>
          <w:rFonts w:hint="eastAsia"/>
          <w:lang w:val="en-US" w:eastAsia="zh-CN"/>
        </w:rPr>
        <w:t xml:space="preserve"> FR1 inter-band UL CA with DMRS bundling</w:t>
      </w:r>
    </w:p>
    <w:p>
      <w:pPr>
        <w:numPr>
          <w:ilvl w:val="0"/>
          <w:numId w:val="9"/>
        </w:numPr>
        <w:bidi w:val="0"/>
        <w:ind w:left="840" w:leftChars="0" w:hanging="420" w:firstLineChars="0"/>
        <w:rPr>
          <w:rFonts w:hint="eastAsia"/>
          <w:lang w:val="en-US" w:eastAsia="zh-CN"/>
        </w:rPr>
      </w:pPr>
      <w:r>
        <w:rPr>
          <w:rFonts w:hint="eastAsia"/>
          <w:lang w:val="en-US" w:eastAsia="zh-CN"/>
        </w:rPr>
        <w:t xml:space="preserve"> SUL with DMRS bundling</w:t>
      </w:r>
    </w:p>
    <w:p>
      <w:pPr>
        <w:rPr>
          <w:rFonts w:hint="default" w:eastAsia="宋体"/>
          <w:i w:val="0"/>
          <w:iCs w:val="0"/>
          <w:lang w:val="en-US" w:eastAsia="zh-CN"/>
        </w:rPr>
      </w:pPr>
      <w:r>
        <w:rPr>
          <w:rFonts w:hint="eastAsia"/>
          <w:lang w:val="en-US" w:eastAsia="zh-CN"/>
        </w:rPr>
        <w:t>One controversial issue discussed in RAN1#110 is about whether there is</w:t>
      </w:r>
      <w:r>
        <w:rPr>
          <w:rFonts w:hint="eastAsia"/>
          <w:i w:val="0"/>
          <w:iCs w:val="0"/>
          <w:lang w:val="en-US" w:eastAsia="zh-CN"/>
        </w:rPr>
        <w:t xml:space="preserve"> RAN1 specification impact in case of con</w:t>
      </w:r>
      <w:r>
        <w:rPr>
          <w:rFonts w:hint="default"/>
          <w:i w:val="0"/>
          <w:iCs w:val="0"/>
        </w:rPr>
        <w:t>current uplink transmissions on two carriers</w:t>
      </w:r>
      <w:r>
        <w:rPr>
          <w:rFonts w:hint="eastAsia"/>
          <w:i w:val="0"/>
          <w:iCs w:val="0"/>
          <w:lang w:val="en-US" w:eastAsia="zh-CN"/>
        </w:rPr>
        <w:t>. This may depend on whether the current events are defined per carrier basis or for all carriers. This applies to not only UL CA with con</w:t>
      </w:r>
      <w:r>
        <w:rPr>
          <w:rFonts w:hint="default"/>
          <w:i w:val="0"/>
          <w:iCs w:val="0"/>
        </w:rPr>
        <w:t xml:space="preserve">current uplink transmissions </w:t>
      </w:r>
      <w:r>
        <w:rPr>
          <w:rFonts w:hint="eastAsia"/>
          <w:i w:val="0"/>
          <w:iCs w:val="0"/>
          <w:lang w:val="en-US" w:eastAsia="zh-CN"/>
        </w:rPr>
        <w:t>but also con</w:t>
      </w:r>
      <w:r>
        <w:rPr>
          <w:rFonts w:hint="default"/>
          <w:i w:val="0"/>
          <w:iCs w:val="0"/>
        </w:rPr>
        <w:t>current uplink transmission</w:t>
      </w:r>
      <w:r>
        <w:rPr>
          <w:rFonts w:hint="eastAsia"/>
          <w:i w:val="0"/>
          <w:iCs w:val="0"/>
          <w:lang w:val="en-US" w:eastAsia="zh-CN"/>
        </w:rPr>
        <w:t xml:space="preserve"> between NUL and SUL within a serving cell in case of SRS transmission in one carrier, i.e., the case defined by the following capability. </w:t>
      </w:r>
    </w:p>
    <w:tbl>
      <w:tblPr>
        <w:tblStyle w:val="50"/>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65"/>
              <w:rPr>
                <w:b/>
                <w:i/>
              </w:rPr>
            </w:pPr>
            <w:r>
              <w:rPr>
                <w:b/>
                <w:i/>
              </w:rPr>
              <w:t>simultaneousTxSUL-NonSUL</w:t>
            </w:r>
          </w:p>
          <w:p>
            <w:pPr>
              <w:pStyle w:val="65"/>
            </w:pPr>
            <w: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pPr>
              <w:pStyle w:val="65"/>
              <w:jc w:val="center"/>
            </w:pPr>
            <w:r>
              <w:t>FS</w:t>
            </w:r>
          </w:p>
        </w:tc>
        <w:tc>
          <w:tcPr>
            <w:tcW w:w="567" w:type="dxa"/>
          </w:tcPr>
          <w:p>
            <w:pPr>
              <w:pStyle w:val="65"/>
              <w:jc w:val="center"/>
            </w:pPr>
            <w:r>
              <w:t>No</w:t>
            </w:r>
          </w:p>
        </w:tc>
        <w:tc>
          <w:tcPr>
            <w:tcW w:w="709" w:type="dxa"/>
          </w:tcPr>
          <w:p>
            <w:pPr>
              <w:pStyle w:val="65"/>
              <w:jc w:val="center"/>
            </w:pPr>
            <w:r>
              <w:rPr>
                <w:bCs/>
                <w:iCs/>
              </w:rPr>
              <w:t>N/A</w:t>
            </w:r>
          </w:p>
        </w:tc>
        <w:tc>
          <w:tcPr>
            <w:tcW w:w="728" w:type="dxa"/>
          </w:tcPr>
          <w:p>
            <w:pPr>
              <w:pStyle w:val="65"/>
              <w:jc w:val="center"/>
            </w:pPr>
            <w:r>
              <w:rPr>
                <w:bCs/>
                <w:iCs/>
              </w:rPr>
              <w:t>N/A</w:t>
            </w:r>
          </w:p>
        </w:tc>
      </w:tr>
    </w:tbl>
    <w:p>
      <w:pPr>
        <w:rPr>
          <w:rFonts w:hint="default"/>
          <w:lang w:val="en-US" w:eastAsia="zh-CN"/>
        </w:rPr>
      </w:pPr>
    </w:p>
    <w:p>
      <w:pPr>
        <w:rPr>
          <w:rFonts w:hint="default" w:eastAsia="宋体"/>
          <w:lang w:val="en-US" w:eastAsia="zh-CN"/>
        </w:rPr>
      </w:pPr>
      <w:r>
        <w:rPr>
          <w:rFonts w:hint="eastAsia"/>
          <w:lang w:val="en-US" w:eastAsia="zh-CN"/>
        </w:rPr>
        <w:t xml:space="preserve">In our view, the FR1+FR1 UL CA or SUL cases with </w:t>
      </w:r>
      <w:r>
        <w:rPr>
          <w:rFonts w:hint="eastAsia"/>
          <w:i w:val="0"/>
          <w:iCs w:val="0"/>
          <w:lang w:val="en-US" w:eastAsia="zh-CN"/>
        </w:rPr>
        <w:t>con</w:t>
      </w:r>
      <w:r>
        <w:rPr>
          <w:rFonts w:hint="default"/>
          <w:i w:val="0"/>
          <w:iCs w:val="0"/>
        </w:rPr>
        <w:t>current uplink transmissions</w:t>
      </w:r>
      <w:r>
        <w:rPr>
          <w:rFonts w:hint="eastAsia"/>
          <w:i w:val="0"/>
          <w:iCs w:val="0"/>
          <w:lang w:val="en-US" w:eastAsia="zh-CN"/>
        </w:rPr>
        <w:t xml:space="preserve"> could be interpreted to be already supported by the following two events. </w:t>
      </w:r>
      <w:r>
        <w:rPr>
          <w:rFonts w:hint="eastAsia"/>
          <w:i w:val="0"/>
          <w:iCs w:val="0"/>
          <w:u w:val="none"/>
          <w:lang w:val="en-US" w:eastAsia="zh-CN"/>
        </w:rPr>
        <w:t xml:space="preserve">Note that, this is not applicable to FR1+FR2 UL CA/DC as RAN4 spec has already limited the requirements to the case </w:t>
      </w:r>
      <w:r>
        <w:rPr>
          <w:i w:val="0"/>
          <w:iCs w:val="0"/>
          <w:u w:val="none"/>
        </w:rPr>
        <w:t>when one uplink band and CC is configured for DMRS bundling at a time.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87"/>
              <w:spacing w:before="120" w:line="280" w:lineRule="atLeast"/>
              <w:ind w:left="0" w:leftChars="0" w:firstLine="0" w:firstLineChars="0"/>
              <w:rPr>
                <w:rFonts w:hint="default" w:eastAsia="宋体"/>
                <w:i w:val="0"/>
                <w:iCs w:val="0"/>
                <w:lang w:val="en-US" w:eastAsia="zh-CN"/>
              </w:rPr>
            </w:pPr>
            <w:r>
              <w:rPr>
                <w:rFonts w:hint="eastAsia"/>
                <w:i w:val="0"/>
                <w:iCs w:val="0"/>
                <w:lang w:val="en-US" w:eastAsia="zh-CN"/>
              </w:rPr>
              <w:t>Spec texts extracted from Clause 6.17 in TS 38.214:</w:t>
            </w:r>
          </w:p>
          <w:p>
            <w:pPr>
              <w:pStyle w:val="87"/>
              <w:spacing w:before="120" w:line="280" w:lineRule="atLeast"/>
              <w:rPr>
                <w:i/>
                <w:iCs/>
              </w:rPr>
            </w:pPr>
            <w:r>
              <w:rPr>
                <w:i/>
                <w:iCs/>
              </w:rPr>
              <w:t>-</w:t>
            </w:r>
            <w:r>
              <w:rPr>
                <w:i/>
                <w:iCs/>
              </w:rPr>
              <w:tab/>
            </w:r>
            <w:r>
              <w:rPr>
                <w:i/>
                <w:iCs/>
              </w:rPr>
              <w:t>The gap between any two consecutive PUSCH transmissions, or the gap between any two consecutive PUCCH transmissions, exceeds 13 symbols for normal cyclic prefix or exceeds 11 symbols for extended cyclic prefix.</w:t>
            </w:r>
          </w:p>
          <w:p>
            <w:pPr>
              <w:pStyle w:val="87"/>
              <w:spacing w:before="120" w:line="280" w:lineRule="atLeast"/>
              <w:rPr>
                <w:rFonts w:hint="default"/>
                <w:vertAlign w:val="baseline"/>
                <w:lang w:val="en-US" w:eastAsia="zh-CN"/>
              </w:rPr>
            </w:pPr>
            <w:r>
              <w:rPr>
                <w:i/>
                <w:iCs/>
              </w:rPr>
              <w:t>-</w:t>
            </w:r>
            <w:r>
              <w:rPr>
                <w:i/>
                <w:iCs/>
              </w:rPr>
              <w:tab/>
            </w:r>
            <w:r>
              <w:rPr>
                <w:i/>
                <w:iCs/>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tc>
      </w:tr>
    </w:tbl>
    <w:p>
      <w:pPr>
        <w:rPr>
          <w:rFonts w:hint="default"/>
          <w:lang w:val="en-US" w:eastAsia="zh-CN"/>
        </w:rPr>
      </w:pPr>
    </w:p>
    <w:p>
      <w:pPr>
        <w:rPr>
          <w:rFonts w:hint="eastAsia"/>
          <w:b/>
          <w:bCs/>
          <w:i/>
          <w:iCs/>
          <w:lang w:val="en-US" w:eastAsia="zh-CN"/>
        </w:rPr>
      </w:pPr>
      <w:r>
        <w:rPr>
          <w:rFonts w:hint="eastAsia"/>
          <w:b/>
          <w:bCs/>
          <w:i/>
          <w:iCs/>
          <w:lang w:val="en-US" w:eastAsia="zh-CN"/>
        </w:rPr>
        <w:t>Observation 1: There is no RAN1 impact to support DMRS bundling for the following two cases with con</w:t>
      </w:r>
      <w:r>
        <w:rPr>
          <w:rFonts w:hint="default"/>
          <w:b/>
          <w:bCs/>
          <w:i/>
          <w:iCs/>
        </w:rPr>
        <w:t>current uplink transmissions</w:t>
      </w:r>
      <w:r>
        <w:rPr>
          <w:rFonts w:hint="eastAsia"/>
          <w:b/>
          <w:bCs/>
          <w:i/>
          <w:iCs/>
          <w:lang w:val="en-US" w:eastAsia="zh-CN"/>
        </w:rPr>
        <w:t>.</w:t>
      </w:r>
    </w:p>
    <w:p>
      <w:pPr>
        <w:numPr>
          <w:ilvl w:val="0"/>
          <w:numId w:val="10"/>
        </w:numPr>
        <w:ind w:left="420" w:leftChars="0" w:hanging="420" w:firstLineChars="0"/>
        <w:rPr>
          <w:rFonts w:hint="default" w:eastAsia="宋体"/>
          <w:b/>
          <w:bCs/>
          <w:i/>
          <w:iCs/>
          <w:lang w:val="en-US" w:eastAsia="zh-CN"/>
        </w:rPr>
      </w:pPr>
      <w:r>
        <w:rPr>
          <w:rFonts w:hint="eastAsia"/>
          <w:b/>
          <w:bCs/>
          <w:i/>
          <w:iCs/>
          <w:lang w:val="en-US" w:eastAsia="zh-CN"/>
        </w:rPr>
        <w:t>Con</w:t>
      </w:r>
      <w:r>
        <w:rPr>
          <w:rFonts w:hint="default"/>
          <w:b/>
          <w:bCs/>
          <w:i/>
          <w:iCs/>
        </w:rPr>
        <w:t>current uplink transmissions</w:t>
      </w:r>
      <w:r>
        <w:rPr>
          <w:rFonts w:hint="eastAsia"/>
          <w:b/>
          <w:bCs/>
          <w:i/>
          <w:iCs/>
          <w:lang w:val="en-US" w:eastAsia="zh-CN"/>
        </w:rPr>
        <w:t xml:space="preserve"> between two carriers of FR1 + FR1 UL CA. </w:t>
      </w:r>
    </w:p>
    <w:p>
      <w:pPr>
        <w:numPr>
          <w:ilvl w:val="0"/>
          <w:numId w:val="10"/>
        </w:numPr>
        <w:ind w:left="420" w:leftChars="0" w:hanging="420" w:firstLineChars="0"/>
        <w:rPr>
          <w:rFonts w:hint="eastAsia"/>
          <w:b/>
          <w:bCs/>
          <w:i/>
          <w:iCs/>
          <w:lang w:val="en-US" w:eastAsia="zh-CN"/>
        </w:rPr>
      </w:pPr>
      <w:r>
        <w:rPr>
          <w:rFonts w:hint="eastAsia"/>
          <w:b/>
          <w:bCs/>
          <w:i/>
          <w:iCs/>
          <w:lang w:val="en-US" w:eastAsia="zh-CN"/>
        </w:rPr>
        <w:t>Con</w:t>
      </w:r>
      <w:r>
        <w:rPr>
          <w:rFonts w:hint="default"/>
          <w:b/>
          <w:bCs/>
          <w:i/>
          <w:iCs/>
        </w:rPr>
        <w:t>current</w:t>
      </w:r>
      <w:r>
        <w:rPr>
          <w:rFonts w:hint="eastAsia"/>
          <w:b/>
          <w:bCs/>
          <w:i/>
          <w:iCs/>
          <w:lang w:val="en-US" w:eastAsia="zh-CN"/>
        </w:rPr>
        <w:t xml:space="preserve"> </w:t>
      </w:r>
      <w:r>
        <w:rPr>
          <w:rFonts w:hint="default"/>
          <w:b/>
          <w:bCs/>
          <w:i/>
          <w:iCs/>
        </w:rPr>
        <w:t xml:space="preserve">uplink </w:t>
      </w:r>
      <w:r>
        <w:rPr>
          <w:b/>
          <w:bCs/>
          <w:i/>
          <w:iCs/>
        </w:rPr>
        <w:t>transmission</w:t>
      </w:r>
      <w:r>
        <w:rPr>
          <w:rFonts w:hint="eastAsia"/>
          <w:b/>
          <w:bCs/>
          <w:i/>
          <w:iCs/>
          <w:lang w:val="en-US" w:eastAsia="zh-CN"/>
        </w:rPr>
        <w:t>s</w:t>
      </w:r>
      <w:r>
        <w:rPr>
          <w:b/>
          <w:bCs/>
          <w:i/>
          <w:iCs/>
        </w:rPr>
        <w:t xml:space="preserve"> of SRS on an SUL/non-SUL carrier and PUSCH/PUCCH/SRS on the other UL carrier in the same cell</w:t>
      </w:r>
      <w:r>
        <w:rPr>
          <w:rFonts w:hint="eastAsia"/>
          <w:b/>
          <w:bCs/>
          <w:i/>
          <w:iCs/>
          <w:lang w:val="en-US" w:eastAsia="zh-CN"/>
        </w:rPr>
        <w:t xml:space="preserve">, i.e., FG 6-19. </w:t>
      </w:r>
    </w:p>
    <w:p>
      <w:pPr>
        <w:numPr>
          <w:ilvl w:val="0"/>
          <w:numId w:val="10"/>
        </w:numPr>
        <w:ind w:left="420" w:leftChars="0" w:hanging="420" w:firstLineChars="0"/>
        <w:rPr>
          <w:rFonts w:hint="eastAsia"/>
          <w:b/>
          <w:bCs/>
          <w:i/>
          <w:iCs/>
          <w:lang w:val="en-US" w:eastAsia="zh-CN"/>
        </w:rPr>
      </w:pPr>
      <w:r>
        <w:rPr>
          <w:rFonts w:hint="eastAsia"/>
          <w:b/>
          <w:bCs/>
          <w:i/>
          <w:iCs/>
          <w:lang w:val="en-US" w:eastAsia="zh-CN"/>
        </w:rPr>
        <w:t>Note, for FR1+FR2 UL CA/DC, RAN4 spec has already limited the requirements to the case that when only one uplink band and CC is configured for DMRS bundling at a time.</w:t>
      </w:r>
    </w:p>
    <w:p>
      <w:pPr>
        <w:rPr>
          <w:rFonts w:hint="eastAsia"/>
          <w:lang w:val="en-US" w:eastAsia="zh-CN"/>
        </w:rPr>
      </w:pPr>
      <w:r>
        <w:rPr>
          <w:rFonts w:hint="eastAsia"/>
          <w:lang w:val="en-US" w:eastAsia="zh-CN"/>
        </w:rPr>
        <w:t xml:space="preserve">Based on above, we think </w:t>
      </w:r>
      <w:r>
        <w:rPr>
          <w:rFonts w:hint="eastAsia"/>
          <w:b w:val="0"/>
          <w:bCs w:val="0"/>
          <w:i w:val="0"/>
          <w:iCs w:val="0"/>
          <w:lang w:val="en-US" w:eastAsia="zh-CN"/>
        </w:rPr>
        <w:t>DMRS bundling can be supported for both FR1+FR1 UL CA and SUL, regardless of whether there is con</w:t>
      </w:r>
      <w:r>
        <w:rPr>
          <w:rFonts w:hint="default"/>
          <w:b w:val="0"/>
          <w:bCs w:val="0"/>
          <w:i w:val="0"/>
          <w:iCs w:val="0"/>
        </w:rPr>
        <w:t>current uplink transmission</w:t>
      </w:r>
      <w:r>
        <w:rPr>
          <w:rFonts w:hint="eastAsia"/>
          <w:b w:val="0"/>
          <w:bCs w:val="0"/>
          <w:i w:val="0"/>
          <w:iCs w:val="0"/>
          <w:lang w:val="en-US" w:eastAsia="zh-CN"/>
        </w:rPr>
        <w:t xml:space="preserve"> or not. On other other hand, it was commented by several companies that it is not typical to schedule con</w:t>
      </w:r>
      <w:r>
        <w:rPr>
          <w:rFonts w:hint="default"/>
          <w:b w:val="0"/>
          <w:bCs w:val="0"/>
          <w:i w:val="0"/>
          <w:iCs w:val="0"/>
        </w:rPr>
        <w:t>current uplink transmission</w:t>
      </w:r>
      <w:r>
        <w:rPr>
          <w:rFonts w:hint="eastAsia"/>
          <w:b w:val="0"/>
          <w:bCs w:val="0"/>
          <w:i w:val="0"/>
          <w:iCs w:val="0"/>
          <w:lang w:val="en-US" w:eastAsia="zh-CN"/>
        </w:rPr>
        <w:t xml:space="preserve"> in case the coverage is limited. Therefore, as a starting point in RAN1#110bis-e, we suggest the following proposal which is revised on top of the offline proposal discussed in </w:t>
      </w:r>
      <w:r>
        <w:rPr>
          <w:rFonts w:hint="eastAsia"/>
          <w:lang w:val="en-US" w:eastAsia="zh-CN"/>
        </w:rPr>
        <w:t xml:space="preserve">RAN1#110. </w:t>
      </w:r>
    </w:p>
    <w:p>
      <w:pPr>
        <w:rPr>
          <w:rFonts w:hint="default"/>
          <w:b/>
          <w:bCs/>
          <w:i/>
          <w:iCs/>
          <w:lang w:val="en-US" w:eastAsia="zh-CN"/>
        </w:rPr>
      </w:pPr>
      <w:r>
        <w:rPr>
          <w:rFonts w:hint="eastAsia"/>
          <w:b/>
          <w:bCs/>
          <w:i/>
          <w:iCs/>
          <w:lang w:val="en-US" w:eastAsia="zh-CN"/>
        </w:rPr>
        <w:t xml:space="preserve">Proposal 1: For support of DMRS bundling for multi-carrier cases, RAN1 takes the following way forward as a starting point.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0"/>
              </w:numPr>
              <w:bidi w:val="0"/>
              <w:spacing w:before="120" w:line="280" w:lineRule="atLeast"/>
              <w:ind w:leftChars="0"/>
            </w:pPr>
            <w:r>
              <w:rPr>
                <w:rFonts w:hint="default"/>
                <w:lang w:val="en-US" w:eastAsia="zh-CN"/>
              </w:rPr>
              <w:t xml:space="preserve">For the multi-carrier cases identified </w:t>
            </w:r>
            <w:r>
              <w:rPr>
                <w:rFonts w:hint="eastAsia"/>
                <w:lang w:val="en-US" w:eastAsia="zh-CN"/>
              </w:rPr>
              <w:t>below</w:t>
            </w:r>
            <w:r>
              <w:rPr>
                <w:rFonts w:hint="default"/>
                <w:lang w:val="en-US" w:eastAsia="zh-CN"/>
              </w:rPr>
              <w:t xml:space="preserve">, DMRS bundling can be supported without any RAN1 spec impact. </w:t>
            </w:r>
          </w:p>
          <w:p>
            <w:pPr>
              <w:numPr>
                <w:ilvl w:val="0"/>
                <w:numId w:val="11"/>
              </w:numPr>
              <w:bidi w:val="0"/>
              <w:spacing w:before="120" w:line="280" w:lineRule="atLeast"/>
              <w:ind w:left="420" w:leftChars="0" w:hanging="420" w:firstLineChars="0"/>
            </w:pPr>
            <w:r>
              <w:rPr>
                <w:rFonts w:hint="eastAsia"/>
                <w:lang w:val="en-US" w:eastAsia="zh-CN"/>
              </w:rPr>
              <w:t>Add the following note for</w:t>
            </w:r>
            <w:r>
              <w:rPr>
                <w:rFonts w:hint="default"/>
              </w:rPr>
              <w:t xml:space="preserve"> UE </w:t>
            </w:r>
            <w:r>
              <w:rPr>
                <w:rFonts w:hint="eastAsia"/>
                <w:lang w:val="en-US" w:eastAsia="zh-CN"/>
              </w:rPr>
              <w:t>FG</w:t>
            </w:r>
            <w:r>
              <w:rPr>
                <w:rFonts w:hint="default"/>
              </w:rPr>
              <w:t xml:space="preserve"> 30-4a, 4b, 4c, and 4d (the four back-to-back cases):</w:t>
            </w:r>
          </w:p>
          <w:p>
            <w:pPr>
              <w:bidi w:val="0"/>
              <w:spacing w:before="120" w:line="280" w:lineRule="atLeast"/>
              <w:ind w:firstLine="280" w:firstLineChars="0"/>
              <w:rPr>
                <w:rFonts w:hint="default"/>
                <w:i/>
                <w:iCs/>
              </w:rPr>
            </w:pPr>
            <w:r>
              <w:rPr>
                <w:rFonts w:hint="default"/>
                <w:i/>
                <w:iCs/>
              </w:rPr>
              <w:t>Note: This capability is applicable in the following multi-carrier scenarios:</w:t>
            </w:r>
          </w:p>
          <w:p>
            <w:pPr>
              <w:numPr>
                <w:ilvl w:val="0"/>
                <w:numId w:val="12"/>
              </w:numPr>
              <w:bidi w:val="0"/>
              <w:spacing w:before="120" w:line="280" w:lineRule="atLeast"/>
              <w:ind w:left="840" w:leftChars="0" w:hanging="420" w:firstLineChars="0"/>
              <w:rPr>
                <w:rFonts w:hint="default"/>
                <w:i/>
                <w:iCs/>
              </w:rPr>
            </w:pPr>
            <w:r>
              <w:rPr>
                <w:rFonts w:hint="eastAsia"/>
                <w:i/>
                <w:iCs/>
                <w:lang w:val="en-US" w:eastAsia="zh-CN"/>
              </w:rPr>
              <w:t xml:space="preserve">  </w:t>
            </w:r>
            <w:r>
              <w:rPr>
                <w:rFonts w:hint="default"/>
                <w:i/>
                <w:iCs/>
              </w:rPr>
              <w:t>FR1+FR2 CA/DC with one band on FR1 and another band on FR2.</w:t>
            </w:r>
            <w:r>
              <w:rPr>
                <w:rFonts w:hint="eastAsia"/>
                <w:i/>
                <w:iCs/>
                <w:lang w:val="en-US" w:eastAsia="zh-CN"/>
              </w:rPr>
              <w:t xml:space="preserve"> </w:t>
            </w:r>
            <w:r>
              <w:rPr>
                <w:rFonts w:hint="default"/>
                <w:i/>
                <w:iCs/>
                <w:lang w:eastAsia="zh-CN"/>
              </w:rPr>
              <w:t xml:space="preserve">DMRS bundling configuration is limited to one uplink </w:t>
            </w:r>
            <w:r>
              <w:rPr>
                <w:rFonts w:hint="eastAsia"/>
                <w:i/>
                <w:iCs/>
                <w:lang w:eastAsia="zh-CN"/>
              </w:rPr>
              <w:t xml:space="preserve">NR </w:t>
            </w:r>
            <w:r>
              <w:rPr>
                <w:rFonts w:hint="default"/>
                <w:i/>
                <w:iCs/>
                <w:lang w:eastAsia="zh-CN"/>
              </w:rPr>
              <w:t>carrier in total on all FRs</w:t>
            </w:r>
            <w:r>
              <w:rPr>
                <w:rFonts w:hint="eastAsia"/>
                <w:i/>
                <w:iCs/>
                <w:lang w:eastAsia="zh-CN"/>
              </w:rPr>
              <w:t xml:space="preserve"> at a time.</w:t>
            </w:r>
          </w:p>
          <w:p>
            <w:pPr>
              <w:numPr>
                <w:ilvl w:val="0"/>
                <w:numId w:val="12"/>
              </w:numPr>
              <w:bidi w:val="0"/>
              <w:spacing w:before="120" w:line="280" w:lineRule="atLeast"/>
              <w:ind w:left="840" w:leftChars="0" w:hanging="420" w:firstLineChars="0"/>
              <w:rPr>
                <w:rFonts w:hint="default" w:ascii="Calibri" w:hAnsi="Calibri" w:cs="Calibri"/>
                <w:b w:val="0"/>
                <w:i/>
                <w:iCs/>
                <w:caps w:val="0"/>
                <w:color w:val="000000"/>
                <w:spacing w:val="0"/>
                <w:sz w:val="22"/>
                <w:szCs w:val="22"/>
              </w:rPr>
            </w:pPr>
            <w:r>
              <w:rPr>
                <w:rFonts w:hint="eastAsia"/>
                <w:i/>
                <w:iCs/>
                <w:lang w:val="en-US" w:eastAsia="zh-CN"/>
              </w:rPr>
              <w:t xml:space="preserve">FR1 inter-band DL CA with a </w:t>
            </w:r>
            <w:r>
              <w:rPr>
                <w:rFonts w:hint="default"/>
                <w:i/>
                <w:iCs/>
                <w:lang w:val="en-US" w:eastAsia="zh-CN"/>
              </w:rPr>
              <w:t>‘</w:t>
            </w:r>
            <w:r>
              <w:rPr>
                <w:rFonts w:hint="eastAsia"/>
                <w:i/>
                <w:iCs/>
                <w:lang w:val="en-US" w:eastAsia="zh-CN"/>
              </w:rPr>
              <w:t>single</w:t>
            </w:r>
            <w:r>
              <w:rPr>
                <w:rFonts w:hint="default"/>
                <w:i/>
                <w:iCs/>
                <w:lang w:val="en-US" w:eastAsia="zh-CN"/>
              </w:rPr>
              <w:t>’</w:t>
            </w:r>
            <w:r>
              <w:rPr>
                <w:rFonts w:hint="eastAsia"/>
                <w:i/>
                <w:iCs/>
                <w:lang w:val="en-US" w:eastAsia="zh-CN"/>
              </w:rPr>
              <w:t xml:space="preserve"> uplink band configured</w:t>
            </w:r>
          </w:p>
          <w:p>
            <w:pPr>
              <w:numPr>
                <w:ilvl w:val="0"/>
                <w:numId w:val="12"/>
              </w:numPr>
              <w:bidi w:val="0"/>
              <w:spacing w:before="120" w:line="280" w:lineRule="atLeast"/>
              <w:ind w:left="840" w:leftChars="0" w:hanging="420" w:firstLineChars="0"/>
              <w:rPr>
                <w:rFonts w:hint="default" w:ascii="Calibri" w:hAnsi="Calibri" w:cs="Calibri"/>
                <w:b w:val="0"/>
                <w:i/>
                <w:iCs/>
                <w:caps w:val="0"/>
                <w:color w:val="000000"/>
                <w:spacing w:val="0"/>
                <w:sz w:val="22"/>
                <w:szCs w:val="22"/>
              </w:rPr>
            </w:pPr>
            <w:r>
              <w:rPr>
                <w:rFonts w:hint="eastAsia"/>
                <w:i/>
                <w:iCs/>
                <w:lang w:val="en-US" w:eastAsia="zh-CN"/>
              </w:rPr>
              <w:t xml:space="preserve">DL CA with </w:t>
            </w:r>
            <w:r>
              <w:rPr>
                <w:rFonts w:hint="default"/>
                <w:i/>
                <w:iCs/>
                <w:lang w:val="en-US" w:eastAsia="zh-CN"/>
              </w:rPr>
              <w:t>‘</w:t>
            </w:r>
            <w:r>
              <w:rPr>
                <w:rFonts w:hint="eastAsia"/>
                <w:i/>
                <w:iCs/>
                <w:lang w:val="en-US" w:eastAsia="zh-CN"/>
              </w:rPr>
              <w:t>additional</w:t>
            </w:r>
            <w:r>
              <w:rPr>
                <w:rFonts w:hint="default"/>
                <w:i/>
                <w:iCs/>
                <w:lang w:val="en-US" w:eastAsia="zh-CN"/>
              </w:rPr>
              <w:t>’</w:t>
            </w:r>
            <w:r>
              <w:rPr>
                <w:rFonts w:hint="eastAsia"/>
                <w:i/>
                <w:iCs/>
                <w:lang w:val="en-US" w:eastAsia="zh-CN"/>
              </w:rPr>
              <w:t xml:space="preserve"> UL carrier configured with SRS only</w:t>
            </w:r>
          </w:p>
          <w:p>
            <w:pPr>
              <w:numPr>
                <w:ilvl w:val="0"/>
                <w:numId w:val="12"/>
              </w:numPr>
              <w:bidi w:val="0"/>
              <w:spacing w:before="120" w:line="280" w:lineRule="atLeast"/>
              <w:ind w:left="840" w:leftChars="0" w:hanging="420" w:firstLineChars="0"/>
              <w:rPr>
                <w:rFonts w:hint="default" w:ascii="Calibri" w:hAnsi="Calibri" w:cs="Calibri"/>
                <w:b w:val="0"/>
                <w:i/>
                <w:iCs/>
                <w:caps w:val="0"/>
                <w:color w:val="000000"/>
                <w:spacing w:val="0"/>
                <w:sz w:val="22"/>
                <w:szCs w:val="22"/>
              </w:rPr>
            </w:pPr>
            <w:r>
              <w:rPr>
                <w:rFonts w:hint="default"/>
                <w:i/>
                <w:iCs/>
              </w:rPr>
              <w:t>SUL</w:t>
            </w:r>
            <w:r>
              <w:rPr>
                <w:rFonts w:hint="eastAsia"/>
                <w:i/>
                <w:iCs/>
                <w:lang w:val="en-US" w:eastAsia="zh-CN"/>
              </w:rPr>
              <w:t xml:space="preserve">, </w:t>
            </w:r>
            <w:r>
              <w:rPr>
                <w:rFonts w:hint="default"/>
                <w:i/>
                <w:iCs/>
              </w:rPr>
              <w:t>where UE does not expect concurrent uplink transmissions on two carriers</w:t>
            </w:r>
            <w:r>
              <w:rPr>
                <w:rFonts w:hint="eastAsia"/>
                <w:i/>
                <w:iCs/>
                <w:lang w:val="en-US" w:eastAsia="zh-CN"/>
              </w:rPr>
              <w:t xml:space="preserve"> in case of </w:t>
            </w:r>
            <w:r>
              <w:rPr>
                <w:b w:val="0"/>
                <w:bCs w:val="0"/>
                <w:i/>
                <w:iCs/>
              </w:rPr>
              <w:t>SRS on an SUL/non-SUL carrier and PUSCH/PUCCH/SRS on the other UL carrier in the same cell</w:t>
            </w:r>
          </w:p>
          <w:p>
            <w:pPr>
              <w:numPr>
                <w:ilvl w:val="0"/>
                <w:numId w:val="12"/>
              </w:numPr>
              <w:bidi w:val="0"/>
              <w:spacing w:before="120" w:line="280" w:lineRule="atLeast"/>
              <w:ind w:left="840" w:leftChars="0" w:hanging="420" w:firstLineChars="0"/>
              <w:rPr>
                <w:rFonts w:hint="default" w:ascii="Calibri" w:hAnsi="Calibri" w:cs="Calibri"/>
                <w:b w:val="0"/>
                <w:i w:val="0"/>
                <w:caps w:val="0"/>
                <w:color w:val="000000"/>
                <w:spacing w:val="0"/>
                <w:sz w:val="22"/>
                <w:szCs w:val="22"/>
              </w:rPr>
            </w:pPr>
            <w:r>
              <w:rPr>
                <w:rFonts w:hint="default"/>
                <w:i/>
                <w:iCs/>
              </w:rPr>
              <w:t xml:space="preserve">FR1+FR1 </w:t>
            </w:r>
            <w:r>
              <w:rPr>
                <w:rFonts w:hint="eastAsia"/>
                <w:i/>
                <w:iCs/>
                <w:lang w:val="en-US" w:eastAsia="zh-CN"/>
              </w:rPr>
              <w:t>i</w:t>
            </w:r>
            <w:r>
              <w:rPr>
                <w:rFonts w:hint="default"/>
                <w:i/>
                <w:iCs/>
              </w:rPr>
              <w:t>nter-band CA involving two or more FR1 bands</w:t>
            </w:r>
            <w:r>
              <w:rPr>
                <w:rFonts w:hint="eastAsia"/>
                <w:i/>
                <w:iCs/>
                <w:lang w:val="en-US" w:eastAsia="zh-CN"/>
              </w:rPr>
              <w:t>,</w:t>
            </w:r>
            <w:r>
              <w:rPr>
                <w:rFonts w:hint="default"/>
                <w:i/>
                <w:iCs/>
              </w:rPr>
              <w:t xml:space="preserve"> where UE does not expect concurrent uplink transmissions on two carriers</w:t>
            </w:r>
          </w:p>
          <w:p>
            <w:pPr>
              <w:numPr>
                <w:ilvl w:val="1"/>
                <w:numId w:val="12"/>
              </w:numPr>
              <w:bidi w:val="0"/>
              <w:spacing w:before="120" w:line="280" w:lineRule="atLeast"/>
              <w:ind w:left="1260" w:leftChars="0" w:hanging="420" w:firstLineChars="0"/>
              <w:rPr>
                <w:rFonts w:hint="default" w:ascii="Calibri" w:hAnsi="Calibri" w:cs="Calibri"/>
                <w:b w:val="0"/>
                <w:i w:val="0"/>
                <w:caps w:val="0"/>
                <w:color w:val="000000"/>
                <w:spacing w:val="0"/>
                <w:sz w:val="22"/>
                <w:szCs w:val="22"/>
              </w:rPr>
            </w:pPr>
            <w:r>
              <w:rPr>
                <w:rFonts w:hint="default"/>
                <w:i/>
                <w:iCs/>
                <w:lang w:eastAsia="zh-CN"/>
              </w:rPr>
              <w:t>Only configuration of a single TAG is supported.</w:t>
            </w:r>
          </w:p>
          <w:p>
            <w:pPr>
              <w:numPr>
                <w:ilvl w:val="0"/>
                <w:numId w:val="11"/>
              </w:numPr>
              <w:bidi w:val="0"/>
              <w:spacing w:before="120" w:line="280" w:lineRule="atLeast"/>
              <w:ind w:left="420" w:leftChars="0" w:hanging="420" w:firstLineChars="0"/>
              <w:rPr>
                <w:rFonts w:hint="default"/>
                <w:lang w:val="en-US" w:eastAsia="zh-CN"/>
              </w:rPr>
            </w:pPr>
            <w:r>
              <w:rPr>
                <w:rFonts w:hint="eastAsia"/>
                <w:lang w:val="en-US" w:eastAsia="zh-CN"/>
              </w:rPr>
              <w:t>Add the following note for FG</w:t>
            </w:r>
            <w:r>
              <w:rPr>
                <w:rFonts w:hint="default"/>
                <w:lang w:val="en-US" w:eastAsia="zh-CN"/>
              </w:rPr>
              <w:t xml:space="preserve"> 30-4h (non-back-to-back case):</w:t>
            </w:r>
          </w:p>
          <w:p>
            <w:pPr>
              <w:numPr>
                <w:ilvl w:val="0"/>
                <w:numId w:val="0"/>
              </w:numPr>
              <w:bidi w:val="0"/>
              <w:spacing w:before="120" w:line="280" w:lineRule="atLeast"/>
              <w:ind w:leftChars="0" w:firstLine="280" w:firstLineChars="0"/>
              <w:rPr>
                <w:rFonts w:hint="default"/>
                <w:b/>
                <w:bCs/>
                <w:sz w:val="21"/>
                <w:szCs w:val="21"/>
                <w:u w:val="single"/>
                <w:vertAlign w:val="baseline"/>
                <w:lang w:val="en-US" w:eastAsia="zh-CN"/>
              </w:rPr>
            </w:pPr>
            <w:r>
              <w:rPr>
                <w:rFonts w:hint="default"/>
                <w:i/>
                <w:iCs/>
                <w:lang w:val="en-US" w:eastAsia="zh-CN"/>
              </w:rPr>
              <w:t>Note: This capability is only applicable when UE is configured with single uplink carrier.</w:t>
            </w:r>
          </w:p>
        </w:tc>
      </w:tr>
    </w:tbl>
    <w:p>
      <w:pPr>
        <w:rPr>
          <w:rFonts w:hint="eastAsia"/>
          <w:b/>
          <w:bCs/>
          <w:sz w:val="21"/>
          <w:szCs w:val="21"/>
          <w:u w:val="single"/>
          <w:lang w:val="en-US" w:eastAsia="zh-CN"/>
        </w:rPr>
      </w:pPr>
    </w:p>
    <w:p>
      <w:pPr>
        <w:pStyle w:val="2"/>
        <w:rPr>
          <w:lang w:eastAsia="zh-CN"/>
        </w:rPr>
      </w:pPr>
      <w:r>
        <w:rPr>
          <w:rFonts w:hint="eastAsia"/>
          <w:lang w:eastAsia="zh-CN"/>
        </w:rPr>
        <w:t>C</w:t>
      </w:r>
      <w:r>
        <w:rPr>
          <w:lang w:eastAsia="zh-CN"/>
        </w:rPr>
        <w:t>onclusion</w:t>
      </w:r>
    </w:p>
    <w:p>
      <w:pPr>
        <w:rPr>
          <w:rFonts w:hint="eastAsia"/>
          <w:b w:val="0"/>
          <w:bCs/>
          <w:i/>
          <w:iCs w:val="0"/>
          <w:lang w:val="en-US" w:eastAsia="zh-CN"/>
        </w:rPr>
      </w:pPr>
      <w:r>
        <w:rPr>
          <w:rFonts w:hint="eastAsia"/>
          <w:lang w:val="en-US" w:eastAsia="zh-CN"/>
        </w:rPr>
        <w:t>Based on the discussion, we have the following observation and proposal.</w:t>
      </w:r>
      <w:r>
        <w:rPr>
          <w:rFonts w:hint="eastAsia"/>
          <w:b w:val="0"/>
          <w:bCs/>
          <w:i/>
          <w:iCs w:val="0"/>
          <w:lang w:val="en-US" w:eastAsia="zh-CN"/>
        </w:rPr>
        <w:t xml:space="preserve"> </w:t>
      </w:r>
    </w:p>
    <w:p>
      <w:pPr>
        <w:rPr>
          <w:rFonts w:hint="eastAsia"/>
          <w:b/>
          <w:bCs/>
          <w:i/>
          <w:iCs/>
          <w:lang w:val="en-US" w:eastAsia="zh-CN"/>
        </w:rPr>
      </w:pPr>
      <w:r>
        <w:rPr>
          <w:rFonts w:hint="eastAsia"/>
          <w:b/>
          <w:bCs/>
          <w:i/>
          <w:iCs/>
          <w:lang w:val="en-US" w:eastAsia="zh-CN"/>
        </w:rPr>
        <w:t>Observation 1: There is no RAN1 impact to support DMRS bundling for the following two cases with con</w:t>
      </w:r>
      <w:r>
        <w:rPr>
          <w:rFonts w:hint="default"/>
          <w:b/>
          <w:bCs/>
          <w:i/>
          <w:iCs/>
        </w:rPr>
        <w:t>current uplink transmissions</w:t>
      </w:r>
      <w:r>
        <w:rPr>
          <w:rFonts w:hint="eastAsia"/>
          <w:b/>
          <w:bCs/>
          <w:i/>
          <w:iCs/>
          <w:lang w:val="en-US" w:eastAsia="zh-CN"/>
        </w:rPr>
        <w:t>.</w:t>
      </w:r>
    </w:p>
    <w:p>
      <w:pPr>
        <w:numPr>
          <w:ilvl w:val="0"/>
          <w:numId w:val="10"/>
        </w:numPr>
        <w:ind w:left="420" w:leftChars="0" w:hanging="420" w:firstLineChars="0"/>
        <w:rPr>
          <w:rFonts w:hint="default" w:eastAsia="宋体"/>
          <w:b/>
          <w:bCs/>
          <w:i/>
          <w:iCs/>
          <w:lang w:val="en-US" w:eastAsia="zh-CN"/>
        </w:rPr>
      </w:pPr>
      <w:r>
        <w:rPr>
          <w:rFonts w:hint="eastAsia"/>
          <w:b/>
          <w:bCs/>
          <w:i/>
          <w:iCs/>
          <w:lang w:val="en-US" w:eastAsia="zh-CN"/>
        </w:rPr>
        <w:t>Con</w:t>
      </w:r>
      <w:r>
        <w:rPr>
          <w:rFonts w:hint="default"/>
          <w:b/>
          <w:bCs/>
          <w:i/>
          <w:iCs/>
        </w:rPr>
        <w:t>current uplink transmissions</w:t>
      </w:r>
      <w:r>
        <w:rPr>
          <w:rFonts w:hint="eastAsia"/>
          <w:b/>
          <w:bCs/>
          <w:i/>
          <w:iCs/>
          <w:lang w:val="en-US" w:eastAsia="zh-CN"/>
        </w:rPr>
        <w:t xml:space="preserve"> between two carriers of FR1 + FR1 UL CA. </w:t>
      </w:r>
    </w:p>
    <w:p>
      <w:pPr>
        <w:numPr>
          <w:ilvl w:val="0"/>
          <w:numId w:val="10"/>
        </w:numPr>
        <w:ind w:left="420" w:leftChars="0" w:hanging="420" w:firstLineChars="0"/>
        <w:rPr>
          <w:rFonts w:hint="eastAsia"/>
          <w:b/>
          <w:bCs/>
          <w:i/>
          <w:iCs/>
          <w:lang w:val="en-US" w:eastAsia="zh-CN"/>
        </w:rPr>
      </w:pPr>
      <w:r>
        <w:rPr>
          <w:rFonts w:hint="eastAsia"/>
          <w:b/>
          <w:bCs/>
          <w:i/>
          <w:iCs/>
          <w:lang w:val="en-US" w:eastAsia="zh-CN"/>
        </w:rPr>
        <w:t>Con</w:t>
      </w:r>
      <w:r>
        <w:rPr>
          <w:rFonts w:hint="default"/>
          <w:b/>
          <w:bCs/>
          <w:i/>
          <w:iCs/>
        </w:rPr>
        <w:t>current</w:t>
      </w:r>
      <w:r>
        <w:rPr>
          <w:rFonts w:hint="eastAsia"/>
          <w:b/>
          <w:bCs/>
          <w:i/>
          <w:iCs/>
          <w:lang w:val="en-US" w:eastAsia="zh-CN"/>
        </w:rPr>
        <w:t xml:space="preserve"> </w:t>
      </w:r>
      <w:r>
        <w:rPr>
          <w:rFonts w:hint="default"/>
          <w:b/>
          <w:bCs/>
          <w:i/>
          <w:iCs/>
        </w:rPr>
        <w:t xml:space="preserve">uplink </w:t>
      </w:r>
      <w:r>
        <w:rPr>
          <w:b/>
          <w:bCs/>
          <w:i/>
          <w:iCs/>
        </w:rPr>
        <w:t>transmission</w:t>
      </w:r>
      <w:r>
        <w:rPr>
          <w:rFonts w:hint="eastAsia"/>
          <w:b/>
          <w:bCs/>
          <w:i/>
          <w:iCs/>
          <w:lang w:val="en-US" w:eastAsia="zh-CN"/>
        </w:rPr>
        <w:t>s</w:t>
      </w:r>
      <w:r>
        <w:rPr>
          <w:b/>
          <w:bCs/>
          <w:i/>
          <w:iCs/>
        </w:rPr>
        <w:t xml:space="preserve"> of SRS on an SUL/non-SUL carrier and PUSCH/PUCCH/SRS on the other UL carrier in the same cell</w:t>
      </w:r>
      <w:r>
        <w:rPr>
          <w:rFonts w:hint="eastAsia"/>
          <w:b/>
          <w:bCs/>
          <w:i/>
          <w:iCs/>
          <w:lang w:val="en-US" w:eastAsia="zh-CN"/>
        </w:rPr>
        <w:t xml:space="preserve">, i.e., FG 6-19. </w:t>
      </w:r>
    </w:p>
    <w:p>
      <w:pPr>
        <w:numPr>
          <w:ilvl w:val="0"/>
          <w:numId w:val="10"/>
        </w:numPr>
        <w:ind w:left="420" w:leftChars="0" w:hanging="420" w:firstLineChars="0"/>
        <w:rPr>
          <w:rFonts w:hint="eastAsia"/>
          <w:b/>
          <w:bCs/>
          <w:i/>
          <w:iCs/>
          <w:lang w:val="en-US" w:eastAsia="zh-CN"/>
        </w:rPr>
      </w:pPr>
      <w:r>
        <w:rPr>
          <w:rFonts w:hint="eastAsia"/>
          <w:b/>
          <w:bCs/>
          <w:i/>
          <w:iCs/>
          <w:lang w:val="en-US" w:eastAsia="zh-CN"/>
        </w:rPr>
        <w:t>Note, for FR1+FR2 UL CA/DC, RAN4 spec has already limited the requirements to the case that when only one uplink band and CC is configured for DMRS bundling at a time.</w:t>
      </w:r>
    </w:p>
    <w:p>
      <w:pPr>
        <w:rPr>
          <w:rFonts w:hint="default"/>
          <w:b/>
          <w:bCs/>
          <w:i/>
          <w:iCs/>
          <w:lang w:val="en-US" w:eastAsia="zh-CN"/>
        </w:rPr>
      </w:pPr>
      <w:r>
        <w:rPr>
          <w:rFonts w:hint="eastAsia"/>
          <w:b/>
          <w:bCs/>
          <w:i/>
          <w:iCs/>
          <w:lang w:val="en-US" w:eastAsia="zh-CN"/>
        </w:rPr>
        <w:t xml:space="preserve">Proposal 1: For support of DMRS bundling for multi-carrier cases, RAN1 takes the following way forward as a starting point.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0"/>
              </w:numPr>
              <w:bidi w:val="0"/>
              <w:spacing w:before="120" w:line="280" w:lineRule="atLeast"/>
              <w:ind w:leftChars="0"/>
            </w:pPr>
            <w:r>
              <w:rPr>
                <w:rFonts w:hint="default"/>
                <w:lang w:val="en-US" w:eastAsia="zh-CN"/>
              </w:rPr>
              <w:t xml:space="preserve">For the multi-carrier cases identified </w:t>
            </w:r>
            <w:r>
              <w:rPr>
                <w:rFonts w:hint="eastAsia"/>
                <w:lang w:val="en-US" w:eastAsia="zh-CN"/>
              </w:rPr>
              <w:t>below</w:t>
            </w:r>
            <w:r>
              <w:rPr>
                <w:rFonts w:hint="default"/>
                <w:lang w:val="en-US" w:eastAsia="zh-CN"/>
              </w:rPr>
              <w:t xml:space="preserve">, DMRS bundling can be supported without any RAN1 spec impact. </w:t>
            </w:r>
          </w:p>
          <w:p>
            <w:pPr>
              <w:numPr>
                <w:ilvl w:val="0"/>
                <w:numId w:val="11"/>
              </w:numPr>
              <w:bidi w:val="0"/>
              <w:spacing w:before="120" w:line="280" w:lineRule="atLeast"/>
              <w:ind w:left="420" w:leftChars="0" w:hanging="420" w:firstLineChars="0"/>
            </w:pPr>
            <w:r>
              <w:rPr>
                <w:rFonts w:hint="eastAsia"/>
                <w:lang w:val="en-US" w:eastAsia="zh-CN"/>
              </w:rPr>
              <w:t>Add the following note for</w:t>
            </w:r>
            <w:r>
              <w:rPr>
                <w:rFonts w:hint="default"/>
              </w:rPr>
              <w:t xml:space="preserve"> UE </w:t>
            </w:r>
            <w:r>
              <w:rPr>
                <w:rFonts w:hint="eastAsia"/>
                <w:lang w:val="en-US" w:eastAsia="zh-CN"/>
              </w:rPr>
              <w:t>FG</w:t>
            </w:r>
            <w:r>
              <w:rPr>
                <w:rFonts w:hint="default"/>
              </w:rPr>
              <w:t xml:space="preserve"> 30-4a, 4b, 4c, and 4d (the four back-to-back cases):</w:t>
            </w:r>
          </w:p>
          <w:p>
            <w:pPr>
              <w:bidi w:val="0"/>
              <w:spacing w:before="120" w:line="280" w:lineRule="atLeast"/>
              <w:ind w:firstLine="280" w:firstLineChars="0"/>
              <w:rPr>
                <w:rFonts w:hint="default"/>
                <w:i/>
                <w:iCs/>
              </w:rPr>
            </w:pPr>
            <w:r>
              <w:rPr>
                <w:rFonts w:hint="default"/>
                <w:i/>
                <w:iCs/>
              </w:rPr>
              <w:t>Note: This capability is applicable in the following multi-carrier scenarios:</w:t>
            </w:r>
          </w:p>
          <w:p>
            <w:pPr>
              <w:numPr>
                <w:ilvl w:val="0"/>
                <w:numId w:val="12"/>
              </w:numPr>
              <w:bidi w:val="0"/>
              <w:spacing w:before="120" w:line="280" w:lineRule="atLeast"/>
              <w:ind w:left="840" w:leftChars="0" w:hanging="420" w:firstLineChars="0"/>
              <w:rPr>
                <w:rFonts w:hint="default"/>
                <w:i/>
                <w:iCs/>
              </w:rPr>
            </w:pPr>
            <w:r>
              <w:rPr>
                <w:rFonts w:hint="eastAsia"/>
                <w:i/>
                <w:iCs/>
                <w:lang w:val="en-US" w:eastAsia="zh-CN"/>
              </w:rPr>
              <w:t xml:space="preserve">  </w:t>
            </w:r>
            <w:r>
              <w:rPr>
                <w:rFonts w:hint="default"/>
                <w:i/>
                <w:iCs/>
              </w:rPr>
              <w:t>FR1+FR2 CA/DC with one band on FR1 and another band on FR2.</w:t>
            </w:r>
            <w:r>
              <w:rPr>
                <w:rFonts w:hint="eastAsia"/>
                <w:i/>
                <w:iCs/>
                <w:lang w:val="en-US" w:eastAsia="zh-CN"/>
              </w:rPr>
              <w:t xml:space="preserve"> </w:t>
            </w:r>
            <w:r>
              <w:rPr>
                <w:rFonts w:hint="default"/>
                <w:i/>
                <w:iCs/>
                <w:lang w:eastAsia="zh-CN"/>
              </w:rPr>
              <w:t xml:space="preserve">DMRS bundling configuration is limited to one uplink </w:t>
            </w:r>
            <w:r>
              <w:rPr>
                <w:rFonts w:hint="eastAsia"/>
                <w:i/>
                <w:iCs/>
                <w:lang w:eastAsia="zh-CN"/>
              </w:rPr>
              <w:t xml:space="preserve">NR </w:t>
            </w:r>
            <w:r>
              <w:rPr>
                <w:rFonts w:hint="default"/>
                <w:i/>
                <w:iCs/>
                <w:lang w:eastAsia="zh-CN"/>
              </w:rPr>
              <w:t>carrier in total on all FRs</w:t>
            </w:r>
            <w:r>
              <w:rPr>
                <w:rFonts w:hint="eastAsia"/>
                <w:i/>
                <w:iCs/>
                <w:lang w:eastAsia="zh-CN"/>
              </w:rPr>
              <w:t xml:space="preserve"> at a time.</w:t>
            </w:r>
          </w:p>
          <w:p>
            <w:pPr>
              <w:numPr>
                <w:ilvl w:val="0"/>
                <w:numId w:val="12"/>
              </w:numPr>
              <w:bidi w:val="0"/>
              <w:spacing w:before="120" w:line="280" w:lineRule="atLeast"/>
              <w:ind w:left="840" w:leftChars="0" w:hanging="420" w:firstLineChars="0"/>
              <w:rPr>
                <w:rFonts w:hint="default" w:ascii="Calibri" w:hAnsi="Calibri" w:cs="Calibri"/>
                <w:b w:val="0"/>
                <w:i/>
                <w:iCs/>
                <w:caps w:val="0"/>
                <w:color w:val="000000"/>
                <w:spacing w:val="0"/>
                <w:sz w:val="22"/>
                <w:szCs w:val="22"/>
              </w:rPr>
            </w:pPr>
            <w:r>
              <w:rPr>
                <w:rFonts w:hint="eastAsia"/>
                <w:i/>
                <w:iCs/>
                <w:lang w:val="en-US" w:eastAsia="zh-CN"/>
              </w:rPr>
              <w:t xml:space="preserve">FR1 inter-band DL CA with a </w:t>
            </w:r>
            <w:r>
              <w:rPr>
                <w:rFonts w:hint="default"/>
                <w:i/>
                <w:iCs/>
                <w:lang w:val="en-US" w:eastAsia="zh-CN"/>
              </w:rPr>
              <w:t>‘</w:t>
            </w:r>
            <w:r>
              <w:rPr>
                <w:rFonts w:hint="eastAsia"/>
                <w:i/>
                <w:iCs/>
                <w:lang w:val="en-US" w:eastAsia="zh-CN"/>
              </w:rPr>
              <w:t>single</w:t>
            </w:r>
            <w:r>
              <w:rPr>
                <w:rFonts w:hint="default"/>
                <w:i/>
                <w:iCs/>
                <w:lang w:val="en-US" w:eastAsia="zh-CN"/>
              </w:rPr>
              <w:t>’</w:t>
            </w:r>
            <w:r>
              <w:rPr>
                <w:rFonts w:hint="eastAsia"/>
                <w:i/>
                <w:iCs/>
                <w:lang w:val="en-US" w:eastAsia="zh-CN"/>
              </w:rPr>
              <w:t xml:space="preserve"> uplink band configured</w:t>
            </w:r>
          </w:p>
          <w:p>
            <w:pPr>
              <w:numPr>
                <w:ilvl w:val="0"/>
                <w:numId w:val="12"/>
              </w:numPr>
              <w:bidi w:val="0"/>
              <w:spacing w:before="120" w:line="280" w:lineRule="atLeast"/>
              <w:ind w:left="840" w:leftChars="0" w:hanging="420" w:firstLineChars="0"/>
              <w:rPr>
                <w:rFonts w:hint="default" w:ascii="Calibri" w:hAnsi="Calibri" w:cs="Calibri"/>
                <w:b w:val="0"/>
                <w:i/>
                <w:iCs/>
                <w:caps w:val="0"/>
                <w:color w:val="000000"/>
                <w:spacing w:val="0"/>
                <w:sz w:val="22"/>
                <w:szCs w:val="22"/>
              </w:rPr>
            </w:pPr>
            <w:r>
              <w:rPr>
                <w:rFonts w:hint="eastAsia"/>
                <w:i/>
                <w:iCs/>
                <w:lang w:val="en-US" w:eastAsia="zh-CN"/>
              </w:rPr>
              <w:t xml:space="preserve">DL CA with </w:t>
            </w:r>
            <w:r>
              <w:rPr>
                <w:rFonts w:hint="default"/>
                <w:i/>
                <w:iCs/>
                <w:lang w:val="en-US" w:eastAsia="zh-CN"/>
              </w:rPr>
              <w:t>‘</w:t>
            </w:r>
            <w:r>
              <w:rPr>
                <w:rFonts w:hint="eastAsia"/>
                <w:i/>
                <w:iCs/>
                <w:lang w:val="en-US" w:eastAsia="zh-CN"/>
              </w:rPr>
              <w:t>additional</w:t>
            </w:r>
            <w:r>
              <w:rPr>
                <w:rFonts w:hint="default"/>
                <w:i/>
                <w:iCs/>
                <w:lang w:val="en-US" w:eastAsia="zh-CN"/>
              </w:rPr>
              <w:t>’</w:t>
            </w:r>
            <w:r>
              <w:rPr>
                <w:rFonts w:hint="eastAsia"/>
                <w:i/>
                <w:iCs/>
                <w:lang w:val="en-US" w:eastAsia="zh-CN"/>
              </w:rPr>
              <w:t xml:space="preserve"> UL carrier configured with SRS only</w:t>
            </w:r>
          </w:p>
          <w:p>
            <w:pPr>
              <w:numPr>
                <w:ilvl w:val="0"/>
                <w:numId w:val="12"/>
              </w:numPr>
              <w:bidi w:val="0"/>
              <w:spacing w:before="120" w:line="280" w:lineRule="atLeast"/>
              <w:ind w:left="840" w:leftChars="0" w:hanging="420" w:firstLineChars="0"/>
              <w:rPr>
                <w:rFonts w:hint="default" w:ascii="Calibri" w:hAnsi="Calibri" w:cs="Calibri"/>
                <w:b w:val="0"/>
                <w:i/>
                <w:iCs/>
                <w:caps w:val="0"/>
                <w:color w:val="000000"/>
                <w:spacing w:val="0"/>
                <w:sz w:val="22"/>
                <w:szCs w:val="22"/>
              </w:rPr>
            </w:pPr>
            <w:r>
              <w:rPr>
                <w:rFonts w:hint="default"/>
                <w:i/>
                <w:iCs/>
              </w:rPr>
              <w:t>SUL</w:t>
            </w:r>
            <w:r>
              <w:rPr>
                <w:rFonts w:hint="eastAsia"/>
                <w:i/>
                <w:iCs/>
                <w:lang w:val="en-US" w:eastAsia="zh-CN"/>
              </w:rPr>
              <w:t xml:space="preserve">, </w:t>
            </w:r>
            <w:r>
              <w:rPr>
                <w:rFonts w:hint="default"/>
                <w:i/>
                <w:iCs/>
              </w:rPr>
              <w:t>where UE does not expect concurrent uplink transmissions on two carriers</w:t>
            </w:r>
            <w:r>
              <w:rPr>
                <w:rFonts w:hint="eastAsia"/>
                <w:i/>
                <w:iCs/>
                <w:lang w:val="en-US" w:eastAsia="zh-CN"/>
              </w:rPr>
              <w:t xml:space="preserve"> in case of </w:t>
            </w:r>
            <w:r>
              <w:rPr>
                <w:b w:val="0"/>
                <w:bCs w:val="0"/>
                <w:i/>
                <w:iCs/>
              </w:rPr>
              <w:t>SRS on an SUL/non-SUL carrier and PUSCH/PUCCH/SRS on the other UL carrier in the same cell</w:t>
            </w:r>
          </w:p>
          <w:p>
            <w:pPr>
              <w:numPr>
                <w:ilvl w:val="0"/>
                <w:numId w:val="12"/>
              </w:numPr>
              <w:bidi w:val="0"/>
              <w:spacing w:before="120" w:line="280" w:lineRule="atLeast"/>
              <w:ind w:left="840" w:leftChars="0" w:hanging="420" w:firstLineChars="0"/>
              <w:rPr>
                <w:rFonts w:hint="default" w:ascii="Calibri" w:hAnsi="Calibri" w:cs="Calibri"/>
                <w:b w:val="0"/>
                <w:i w:val="0"/>
                <w:caps w:val="0"/>
                <w:color w:val="000000"/>
                <w:spacing w:val="0"/>
                <w:sz w:val="22"/>
                <w:szCs w:val="22"/>
              </w:rPr>
            </w:pPr>
            <w:r>
              <w:rPr>
                <w:rFonts w:hint="default"/>
                <w:i/>
                <w:iCs/>
              </w:rPr>
              <w:t xml:space="preserve">FR1+FR1 </w:t>
            </w:r>
            <w:r>
              <w:rPr>
                <w:rFonts w:hint="eastAsia"/>
                <w:i/>
                <w:iCs/>
                <w:lang w:val="en-US" w:eastAsia="zh-CN"/>
              </w:rPr>
              <w:t>i</w:t>
            </w:r>
            <w:r>
              <w:rPr>
                <w:rFonts w:hint="default"/>
                <w:i/>
                <w:iCs/>
              </w:rPr>
              <w:t>nter-band CA involving two or more FR1 bands</w:t>
            </w:r>
            <w:r>
              <w:rPr>
                <w:rFonts w:hint="eastAsia"/>
                <w:i/>
                <w:iCs/>
                <w:lang w:val="en-US" w:eastAsia="zh-CN"/>
              </w:rPr>
              <w:t>,</w:t>
            </w:r>
            <w:r>
              <w:rPr>
                <w:rFonts w:hint="default"/>
                <w:i/>
                <w:iCs/>
              </w:rPr>
              <w:t xml:space="preserve"> where UE does not expect concurrent uplink transmissions on two carriers</w:t>
            </w:r>
          </w:p>
          <w:p>
            <w:pPr>
              <w:numPr>
                <w:ilvl w:val="1"/>
                <w:numId w:val="12"/>
              </w:numPr>
              <w:bidi w:val="0"/>
              <w:spacing w:before="120" w:line="280" w:lineRule="atLeast"/>
              <w:ind w:left="1260" w:leftChars="0" w:hanging="420" w:firstLineChars="0"/>
              <w:rPr>
                <w:rFonts w:hint="default" w:ascii="Calibri" w:hAnsi="Calibri" w:cs="Calibri"/>
                <w:b w:val="0"/>
                <w:i w:val="0"/>
                <w:caps w:val="0"/>
                <w:color w:val="000000"/>
                <w:spacing w:val="0"/>
                <w:sz w:val="22"/>
                <w:szCs w:val="22"/>
              </w:rPr>
            </w:pPr>
            <w:r>
              <w:rPr>
                <w:rFonts w:hint="default"/>
                <w:i/>
                <w:iCs/>
                <w:lang w:eastAsia="zh-CN"/>
              </w:rPr>
              <w:t>Only configuration of a single TAG is supported.</w:t>
            </w:r>
          </w:p>
          <w:p>
            <w:pPr>
              <w:numPr>
                <w:ilvl w:val="0"/>
                <w:numId w:val="11"/>
              </w:numPr>
              <w:bidi w:val="0"/>
              <w:spacing w:before="120" w:line="280" w:lineRule="atLeast"/>
              <w:ind w:left="420" w:leftChars="0" w:hanging="420" w:firstLineChars="0"/>
              <w:rPr>
                <w:rFonts w:hint="default"/>
                <w:lang w:val="en-US" w:eastAsia="zh-CN"/>
              </w:rPr>
            </w:pPr>
            <w:r>
              <w:rPr>
                <w:rFonts w:hint="eastAsia"/>
                <w:lang w:val="en-US" w:eastAsia="zh-CN"/>
              </w:rPr>
              <w:t>Add the following note for FG</w:t>
            </w:r>
            <w:r>
              <w:rPr>
                <w:rFonts w:hint="default"/>
                <w:lang w:val="en-US" w:eastAsia="zh-CN"/>
              </w:rPr>
              <w:t xml:space="preserve"> 30-4h (non-back-to-back case):</w:t>
            </w:r>
          </w:p>
          <w:p>
            <w:pPr>
              <w:numPr>
                <w:ilvl w:val="0"/>
                <w:numId w:val="0"/>
              </w:numPr>
              <w:bidi w:val="0"/>
              <w:spacing w:before="120" w:line="280" w:lineRule="atLeast"/>
              <w:ind w:leftChars="0" w:firstLine="280" w:firstLineChars="0"/>
              <w:rPr>
                <w:rFonts w:hint="default"/>
                <w:b/>
                <w:bCs/>
                <w:sz w:val="21"/>
                <w:szCs w:val="21"/>
                <w:u w:val="single"/>
                <w:vertAlign w:val="baseline"/>
                <w:lang w:val="en-US" w:eastAsia="zh-CN"/>
              </w:rPr>
            </w:pPr>
            <w:r>
              <w:rPr>
                <w:rFonts w:hint="default"/>
                <w:i/>
                <w:iCs/>
                <w:lang w:val="en-US" w:eastAsia="zh-CN"/>
              </w:rPr>
              <w:t>Note: This capability is only applicable when UE is configured with single uplink carrier.</w:t>
            </w:r>
          </w:p>
        </w:tc>
      </w:tr>
    </w:tbl>
    <w:p>
      <w:pPr>
        <w:rPr>
          <w:rFonts w:hint="eastAsia"/>
          <w:b/>
          <w:bCs w:val="0"/>
          <w:i/>
          <w:iCs w:val="0"/>
          <w:lang w:val="en-US" w:eastAsia="zh-CN"/>
        </w:rPr>
      </w:pPr>
    </w:p>
    <w:p>
      <w:pPr>
        <w:pStyle w:val="2"/>
        <w:rPr>
          <w:lang w:eastAsia="zh-CN"/>
        </w:rPr>
      </w:pPr>
      <w:r>
        <w:rPr>
          <w:rFonts w:hint="eastAsia"/>
          <w:lang w:eastAsia="zh-CN"/>
        </w:rPr>
        <w:t>R</w:t>
      </w:r>
      <w:r>
        <w:rPr>
          <w:lang w:eastAsia="zh-CN"/>
        </w:rPr>
        <w:t>eference</w:t>
      </w:r>
    </w:p>
    <w:p>
      <w:pPr>
        <w:pStyle w:val="126"/>
        <w:rPr>
          <w:rFonts w:hint="eastAsia"/>
          <w:szCs w:val="22"/>
          <w:lang w:val="en-US" w:eastAsia="zh-CN"/>
        </w:rPr>
      </w:pPr>
      <w:r>
        <w:rPr>
          <w:rFonts w:hint="eastAsia"/>
          <w:szCs w:val="22"/>
          <w:lang w:val="en-US" w:eastAsia="zh-CN"/>
        </w:rPr>
        <w:t xml:space="preserve">3GPP RAN1#110, </w:t>
      </w:r>
      <w:r>
        <w:rPr>
          <w:rFonts w:hint="eastAsia"/>
          <w:szCs w:val="22"/>
          <w:lang w:val="de-DE" w:eastAsia="zh-CN"/>
        </w:rPr>
        <w:t>R1-2207923</w:t>
      </w:r>
      <w:r>
        <w:rPr>
          <w:rFonts w:hint="eastAsia"/>
          <w:szCs w:val="22"/>
          <w:lang w:val="en-US" w:eastAsia="zh-CN"/>
        </w:rPr>
        <w:t xml:space="preserve">, </w:t>
      </w:r>
      <w:r>
        <w:rPr>
          <w:rFonts w:hint="eastAsia"/>
          <w:szCs w:val="22"/>
          <w:lang w:val="en-US" w:eastAsia="en-US"/>
        </w:rPr>
        <w:t>Updated RAN1 UE features list for Rel-17 NR after RAN1 #110 Thursday</w:t>
      </w:r>
      <w:r>
        <w:rPr>
          <w:rFonts w:hint="eastAsia"/>
          <w:szCs w:val="22"/>
          <w:lang w:val="en-US" w:eastAsia="zh-CN"/>
        </w:rPr>
        <w:t xml:space="preserve">, </w:t>
      </w:r>
      <w:r>
        <w:rPr>
          <w:rFonts w:hint="default"/>
          <w:szCs w:val="22"/>
          <w:lang w:val="en-US" w:eastAsia="zh-CN"/>
        </w:rPr>
        <w:t>Moderators (AT&amp;T, NTT DOCOMO, INC.)</w:t>
      </w:r>
      <w:r>
        <w:rPr>
          <w:rFonts w:hint="eastAsia"/>
          <w:szCs w:val="22"/>
          <w:lang w:val="en-US" w:eastAsia="zh-CN"/>
        </w:rPr>
        <w:t xml:space="preserve">. </w:t>
      </w:r>
    </w:p>
    <w:p>
      <w:pPr>
        <w:pStyle w:val="126"/>
        <w:rPr>
          <w:rFonts w:hint="eastAsia"/>
          <w:szCs w:val="22"/>
          <w:lang w:val="en-US" w:eastAsia="zh-CN"/>
        </w:rPr>
      </w:pPr>
      <w:r>
        <w:rPr>
          <w:rFonts w:hint="eastAsia"/>
          <w:szCs w:val="22"/>
          <w:lang w:val="en-US" w:eastAsia="zh-CN"/>
        </w:rPr>
        <w:t>3GPP RAN1#</w:t>
      </w:r>
      <w:r>
        <w:rPr>
          <w:rFonts w:hint="eastAsia"/>
          <w:szCs w:val="22"/>
          <w:highlight w:val="none"/>
          <w:lang w:val="en-US" w:eastAsia="zh-CN"/>
        </w:rPr>
        <w:t>110bis-e, R1-2209462, [Dr</w:t>
      </w:r>
      <w:bookmarkStart w:id="3" w:name="_GoBack"/>
      <w:bookmarkEnd w:id="3"/>
      <w:r>
        <w:rPr>
          <w:rFonts w:hint="eastAsia"/>
          <w:szCs w:val="22"/>
          <w:highlight w:val="none"/>
          <w:lang w:val="en-US" w:eastAsia="zh-CN"/>
        </w:rPr>
        <w:t>aft] Repl</w:t>
      </w:r>
      <w:r>
        <w:rPr>
          <w:rFonts w:hint="eastAsia"/>
          <w:szCs w:val="22"/>
          <w:lang w:val="en-US" w:eastAsia="zh-CN"/>
        </w:rPr>
        <w:t xml:space="preserve">y LS to RAN4 on DMRS bundling, ZTE. </w:t>
      </w: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ACFF"/>
    <w:multiLevelType w:val="singleLevel"/>
    <w:tmpl w:val="B078ACFF"/>
    <w:lvl w:ilvl="0" w:tentative="0">
      <w:start w:val="1"/>
      <w:numFmt w:val="bullet"/>
      <w:lvlText w:val=""/>
      <w:lvlJc w:val="left"/>
      <w:pPr>
        <w:ind w:left="420" w:hanging="420"/>
      </w:pPr>
      <w:rPr>
        <w:rFonts w:hint="default" w:ascii="Wingdings" w:hAnsi="Wingdings"/>
      </w:rPr>
    </w:lvl>
  </w:abstractNum>
  <w:abstractNum w:abstractNumId="1">
    <w:nsid w:val="EF595532"/>
    <w:multiLevelType w:val="multilevel"/>
    <w:tmpl w:val="EF59553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2BBE723B"/>
    <w:multiLevelType w:val="multilevel"/>
    <w:tmpl w:val="2BBE723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A145C95"/>
    <w:multiLevelType w:val="singleLevel"/>
    <w:tmpl w:val="4A145C95"/>
    <w:lvl w:ilvl="0" w:tentative="0">
      <w:start w:val="1"/>
      <w:numFmt w:val="bullet"/>
      <w:lvlText w:val=""/>
      <w:lvlJc w:val="left"/>
      <w:pPr>
        <w:ind w:left="420" w:hanging="420"/>
      </w:pPr>
      <w:rPr>
        <w:rFonts w:hint="default" w:ascii="Wingdings" w:hAnsi="Wingdings"/>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9"/>
  </w:num>
  <w:num w:numId="4">
    <w:abstractNumId w:val="6"/>
  </w:num>
  <w:num w:numId="5">
    <w:abstractNumId w:val="11"/>
  </w:num>
  <w:num w:numId="6">
    <w:abstractNumId w:val="8"/>
  </w:num>
  <w:num w:numId="7">
    <w:abstractNumId w:val="5"/>
  </w:num>
  <w:num w:numId="8">
    <w:abstractNumId w:val="10"/>
  </w:num>
  <w:num w:numId="9">
    <w:abstractNumId w:val="3"/>
  </w:num>
  <w:num w:numId="10">
    <w:abstractNumId w:val="0"/>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22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B55"/>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9E2"/>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1C8"/>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ED"/>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C04"/>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27CCC"/>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0F5"/>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342C69"/>
    <w:rsid w:val="01C02D2B"/>
    <w:rsid w:val="0208355B"/>
    <w:rsid w:val="0228590E"/>
    <w:rsid w:val="02597FE3"/>
    <w:rsid w:val="02840045"/>
    <w:rsid w:val="0284643E"/>
    <w:rsid w:val="02BA1A32"/>
    <w:rsid w:val="02BE37BB"/>
    <w:rsid w:val="02DE0FA4"/>
    <w:rsid w:val="02F00014"/>
    <w:rsid w:val="03532C3F"/>
    <w:rsid w:val="036C3EB5"/>
    <w:rsid w:val="03B25C4C"/>
    <w:rsid w:val="03B8120C"/>
    <w:rsid w:val="03C6610F"/>
    <w:rsid w:val="03E75FE7"/>
    <w:rsid w:val="03F94E83"/>
    <w:rsid w:val="03FC4856"/>
    <w:rsid w:val="04242045"/>
    <w:rsid w:val="043307F7"/>
    <w:rsid w:val="047B2F15"/>
    <w:rsid w:val="04947089"/>
    <w:rsid w:val="04B262B0"/>
    <w:rsid w:val="04CA1A9C"/>
    <w:rsid w:val="04F8723E"/>
    <w:rsid w:val="0531717B"/>
    <w:rsid w:val="054B20E6"/>
    <w:rsid w:val="056118F6"/>
    <w:rsid w:val="05AC06CA"/>
    <w:rsid w:val="05F20AC2"/>
    <w:rsid w:val="0601345C"/>
    <w:rsid w:val="067D4C1C"/>
    <w:rsid w:val="067D55E2"/>
    <w:rsid w:val="069A15EE"/>
    <w:rsid w:val="06B1194E"/>
    <w:rsid w:val="06B127E5"/>
    <w:rsid w:val="06E164C8"/>
    <w:rsid w:val="072F2729"/>
    <w:rsid w:val="07C21FA9"/>
    <w:rsid w:val="083F3869"/>
    <w:rsid w:val="088408CF"/>
    <w:rsid w:val="08FE07E9"/>
    <w:rsid w:val="090034F8"/>
    <w:rsid w:val="0957797D"/>
    <w:rsid w:val="0972706B"/>
    <w:rsid w:val="097B4011"/>
    <w:rsid w:val="097E2358"/>
    <w:rsid w:val="09C21BB6"/>
    <w:rsid w:val="09ED5A03"/>
    <w:rsid w:val="0A867EAB"/>
    <w:rsid w:val="0ACC64BA"/>
    <w:rsid w:val="0ADB199B"/>
    <w:rsid w:val="0AFC60B7"/>
    <w:rsid w:val="0B016F8E"/>
    <w:rsid w:val="0B60783C"/>
    <w:rsid w:val="0B6B3588"/>
    <w:rsid w:val="0B8420FC"/>
    <w:rsid w:val="0B93585A"/>
    <w:rsid w:val="0BAD7041"/>
    <w:rsid w:val="0C145B9A"/>
    <w:rsid w:val="0C47234D"/>
    <w:rsid w:val="0C601384"/>
    <w:rsid w:val="0C6F5654"/>
    <w:rsid w:val="0C6F774E"/>
    <w:rsid w:val="0C923A4A"/>
    <w:rsid w:val="0CBF14AA"/>
    <w:rsid w:val="0CC3757D"/>
    <w:rsid w:val="0CCE75B0"/>
    <w:rsid w:val="0D126CFE"/>
    <w:rsid w:val="0D132BA9"/>
    <w:rsid w:val="0D605DDB"/>
    <w:rsid w:val="0D660AC2"/>
    <w:rsid w:val="0D672BF6"/>
    <w:rsid w:val="0D672CB7"/>
    <w:rsid w:val="0DB127BB"/>
    <w:rsid w:val="0DD007ED"/>
    <w:rsid w:val="0DF152A9"/>
    <w:rsid w:val="0E120AD5"/>
    <w:rsid w:val="0E2C5FCA"/>
    <w:rsid w:val="0E2F04CE"/>
    <w:rsid w:val="0E5647B2"/>
    <w:rsid w:val="0E9D66FA"/>
    <w:rsid w:val="0EB06FFE"/>
    <w:rsid w:val="0EE26D0E"/>
    <w:rsid w:val="0F322F02"/>
    <w:rsid w:val="0F367D80"/>
    <w:rsid w:val="0F3A0DFC"/>
    <w:rsid w:val="0F8B6ED9"/>
    <w:rsid w:val="0F8E16B2"/>
    <w:rsid w:val="0FF718DD"/>
    <w:rsid w:val="100237F2"/>
    <w:rsid w:val="10150A41"/>
    <w:rsid w:val="102175BA"/>
    <w:rsid w:val="105F3678"/>
    <w:rsid w:val="106C6358"/>
    <w:rsid w:val="10BC338B"/>
    <w:rsid w:val="10CC40CD"/>
    <w:rsid w:val="10DF6B18"/>
    <w:rsid w:val="10F17986"/>
    <w:rsid w:val="116332A0"/>
    <w:rsid w:val="11825782"/>
    <w:rsid w:val="11E10B49"/>
    <w:rsid w:val="11F042A3"/>
    <w:rsid w:val="12033CC4"/>
    <w:rsid w:val="1257267A"/>
    <w:rsid w:val="12920A79"/>
    <w:rsid w:val="12A472D8"/>
    <w:rsid w:val="12F10C91"/>
    <w:rsid w:val="12FE321B"/>
    <w:rsid w:val="130859B8"/>
    <w:rsid w:val="13250A10"/>
    <w:rsid w:val="13576BA2"/>
    <w:rsid w:val="13626497"/>
    <w:rsid w:val="13805E87"/>
    <w:rsid w:val="13881E43"/>
    <w:rsid w:val="139B225E"/>
    <w:rsid w:val="13BB7694"/>
    <w:rsid w:val="13D65AA3"/>
    <w:rsid w:val="13FD72BF"/>
    <w:rsid w:val="14045C61"/>
    <w:rsid w:val="141716E8"/>
    <w:rsid w:val="141F2191"/>
    <w:rsid w:val="142057BA"/>
    <w:rsid w:val="14836510"/>
    <w:rsid w:val="14BE2C70"/>
    <w:rsid w:val="14FC642E"/>
    <w:rsid w:val="15313C9C"/>
    <w:rsid w:val="153D2A65"/>
    <w:rsid w:val="1575AEB2"/>
    <w:rsid w:val="16237C27"/>
    <w:rsid w:val="164F7F6D"/>
    <w:rsid w:val="165E068A"/>
    <w:rsid w:val="165E3710"/>
    <w:rsid w:val="16787FC0"/>
    <w:rsid w:val="168B222B"/>
    <w:rsid w:val="16C32AB2"/>
    <w:rsid w:val="16C803D4"/>
    <w:rsid w:val="16D87E87"/>
    <w:rsid w:val="16F71CBD"/>
    <w:rsid w:val="1702D3F2"/>
    <w:rsid w:val="170E5CD4"/>
    <w:rsid w:val="172D5AD7"/>
    <w:rsid w:val="17540FAF"/>
    <w:rsid w:val="17622D1E"/>
    <w:rsid w:val="177825E4"/>
    <w:rsid w:val="17B2539F"/>
    <w:rsid w:val="17B618BE"/>
    <w:rsid w:val="17C16304"/>
    <w:rsid w:val="18306948"/>
    <w:rsid w:val="1880153C"/>
    <w:rsid w:val="188D2058"/>
    <w:rsid w:val="18BA7603"/>
    <w:rsid w:val="18BC0096"/>
    <w:rsid w:val="18FD3F86"/>
    <w:rsid w:val="18FE3AD1"/>
    <w:rsid w:val="190D2663"/>
    <w:rsid w:val="190E5702"/>
    <w:rsid w:val="192B740B"/>
    <w:rsid w:val="1934624A"/>
    <w:rsid w:val="19497C62"/>
    <w:rsid w:val="195D7DA5"/>
    <w:rsid w:val="19772E49"/>
    <w:rsid w:val="1988184A"/>
    <w:rsid w:val="19D346F3"/>
    <w:rsid w:val="1A0134CD"/>
    <w:rsid w:val="1A1411A7"/>
    <w:rsid w:val="1A514204"/>
    <w:rsid w:val="1A9E0E89"/>
    <w:rsid w:val="1AB16FB0"/>
    <w:rsid w:val="1AB3024B"/>
    <w:rsid w:val="1B0615F0"/>
    <w:rsid w:val="1B2E6DC7"/>
    <w:rsid w:val="1B5316CE"/>
    <w:rsid w:val="1B5E59D2"/>
    <w:rsid w:val="1B675F35"/>
    <w:rsid w:val="1B8F449F"/>
    <w:rsid w:val="1BC37BF1"/>
    <w:rsid w:val="1C0F0E93"/>
    <w:rsid w:val="1C3354D7"/>
    <w:rsid w:val="1C3C1EA1"/>
    <w:rsid w:val="1C766428"/>
    <w:rsid w:val="1C872C74"/>
    <w:rsid w:val="1CAE40E5"/>
    <w:rsid w:val="1CF276A6"/>
    <w:rsid w:val="1D1344B2"/>
    <w:rsid w:val="1D216CFB"/>
    <w:rsid w:val="1DD50930"/>
    <w:rsid w:val="1DF407BB"/>
    <w:rsid w:val="1E2278A7"/>
    <w:rsid w:val="1E38003B"/>
    <w:rsid w:val="1E5E49BF"/>
    <w:rsid w:val="1E9E27B5"/>
    <w:rsid w:val="1EAA64D6"/>
    <w:rsid w:val="1EC6472F"/>
    <w:rsid w:val="1F2B19E6"/>
    <w:rsid w:val="1F801F22"/>
    <w:rsid w:val="1F850095"/>
    <w:rsid w:val="1FB91CD0"/>
    <w:rsid w:val="1FE04229"/>
    <w:rsid w:val="20582ABA"/>
    <w:rsid w:val="20910CB1"/>
    <w:rsid w:val="20AD2940"/>
    <w:rsid w:val="20C05CF0"/>
    <w:rsid w:val="20CD42FE"/>
    <w:rsid w:val="21035A99"/>
    <w:rsid w:val="211F426B"/>
    <w:rsid w:val="21282288"/>
    <w:rsid w:val="21311E54"/>
    <w:rsid w:val="2186272B"/>
    <w:rsid w:val="21C5256D"/>
    <w:rsid w:val="21E043FC"/>
    <w:rsid w:val="222E1626"/>
    <w:rsid w:val="223252A1"/>
    <w:rsid w:val="224B500D"/>
    <w:rsid w:val="228C3B83"/>
    <w:rsid w:val="228E4F73"/>
    <w:rsid w:val="22B816FE"/>
    <w:rsid w:val="22C23150"/>
    <w:rsid w:val="234F4A54"/>
    <w:rsid w:val="23680C07"/>
    <w:rsid w:val="237027D0"/>
    <w:rsid w:val="239E142D"/>
    <w:rsid w:val="23A25FED"/>
    <w:rsid w:val="23AD4AB0"/>
    <w:rsid w:val="23CD5ED8"/>
    <w:rsid w:val="23E1451F"/>
    <w:rsid w:val="24212A88"/>
    <w:rsid w:val="24492384"/>
    <w:rsid w:val="244F0187"/>
    <w:rsid w:val="245870DE"/>
    <w:rsid w:val="246E0D05"/>
    <w:rsid w:val="247247A7"/>
    <w:rsid w:val="2473146A"/>
    <w:rsid w:val="24CC483B"/>
    <w:rsid w:val="24DF5BCE"/>
    <w:rsid w:val="253A1CB9"/>
    <w:rsid w:val="258D43BC"/>
    <w:rsid w:val="25EE7CD8"/>
    <w:rsid w:val="25FD15D3"/>
    <w:rsid w:val="262831E8"/>
    <w:rsid w:val="267C047B"/>
    <w:rsid w:val="26976865"/>
    <w:rsid w:val="272353C8"/>
    <w:rsid w:val="27257285"/>
    <w:rsid w:val="27371CBF"/>
    <w:rsid w:val="27671489"/>
    <w:rsid w:val="276E4004"/>
    <w:rsid w:val="27C26704"/>
    <w:rsid w:val="27C5366D"/>
    <w:rsid w:val="27D97657"/>
    <w:rsid w:val="27DD67CA"/>
    <w:rsid w:val="27FF6D58"/>
    <w:rsid w:val="28690808"/>
    <w:rsid w:val="28B07E55"/>
    <w:rsid w:val="28B54AA2"/>
    <w:rsid w:val="28B90149"/>
    <w:rsid w:val="28DD01D6"/>
    <w:rsid w:val="292B53F0"/>
    <w:rsid w:val="294D6347"/>
    <w:rsid w:val="29FF4CFC"/>
    <w:rsid w:val="2A0F0B23"/>
    <w:rsid w:val="2A4B665B"/>
    <w:rsid w:val="2A5B00AC"/>
    <w:rsid w:val="2A951FD8"/>
    <w:rsid w:val="2A9A76B0"/>
    <w:rsid w:val="2AAE24A9"/>
    <w:rsid w:val="2AB91175"/>
    <w:rsid w:val="2AFE2B7E"/>
    <w:rsid w:val="2B10276D"/>
    <w:rsid w:val="2B62344B"/>
    <w:rsid w:val="2B762CE0"/>
    <w:rsid w:val="2B7B4F0A"/>
    <w:rsid w:val="2BA24B47"/>
    <w:rsid w:val="2BB23BC1"/>
    <w:rsid w:val="2C6571AE"/>
    <w:rsid w:val="2C920D7A"/>
    <w:rsid w:val="2CA47C45"/>
    <w:rsid w:val="2CCD6E67"/>
    <w:rsid w:val="2CCE1857"/>
    <w:rsid w:val="2D040873"/>
    <w:rsid w:val="2D0C7472"/>
    <w:rsid w:val="2D376513"/>
    <w:rsid w:val="2D621139"/>
    <w:rsid w:val="2D7A57B8"/>
    <w:rsid w:val="2DB23F34"/>
    <w:rsid w:val="2DC275D2"/>
    <w:rsid w:val="2DC863F1"/>
    <w:rsid w:val="2DEA2DFA"/>
    <w:rsid w:val="2E2E0DF4"/>
    <w:rsid w:val="2E6074F7"/>
    <w:rsid w:val="2E643FFD"/>
    <w:rsid w:val="2E8D4F93"/>
    <w:rsid w:val="2E957E90"/>
    <w:rsid w:val="2EA8197C"/>
    <w:rsid w:val="2EB72406"/>
    <w:rsid w:val="2ED02B62"/>
    <w:rsid w:val="2F2367DE"/>
    <w:rsid w:val="2F414FFB"/>
    <w:rsid w:val="2F5758D7"/>
    <w:rsid w:val="2F9B3DA6"/>
    <w:rsid w:val="2FAC7A24"/>
    <w:rsid w:val="2FE63B0A"/>
    <w:rsid w:val="2FF76507"/>
    <w:rsid w:val="2FFA0C0B"/>
    <w:rsid w:val="30071CBB"/>
    <w:rsid w:val="303A67A0"/>
    <w:rsid w:val="304A0FFA"/>
    <w:rsid w:val="30BA18F4"/>
    <w:rsid w:val="30E5380F"/>
    <w:rsid w:val="31215A56"/>
    <w:rsid w:val="31341265"/>
    <w:rsid w:val="313B2BB0"/>
    <w:rsid w:val="31542D3B"/>
    <w:rsid w:val="317D0107"/>
    <w:rsid w:val="318753A2"/>
    <w:rsid w:val="3197488E"/>
    <w:rsid w:val="31A66294"/>
    <w:rsid w:val="31E02CFE"/>
    <w:rsid w:val="322E37DA"/>
    <w:rsid w:val="325F1F99"/>
    <w:rsid w:val="32832752"/>
    <w:rsid w:val="328A5AEF"/>
    <w:rsid w:val="32C8762E"/>
    <w:rsid w:val="32FE23BF"/>
    <w:rsid w:val="330B3922"/>
    <w:rsid w:val="330E6893"/>
    <w:rsid w:val="33987B7F"/>
    <w:rsid w:val="33DE0CB9"/>
    <w:rsid w:val="34397575"/>
    <w:rsid w:val="34E22A09"/>
    <w:rsid w:val="34E657BF"/>
    <w:rsid w:val="3511129D"/>
    <w:rsid w:val="35300539"/>
    <w:rsid w:val="354612D6"/>
    <w:rsid w:val="354D1AD7"/>
    <w:rsid w:val="35574307"/>
    <w:rsid w:val="355B1284"/>
    <w:rsid w:val="357145A7"/>
    <w:rsid w:val="35903D81"/>
    <w:rsid w:val="359455FE"/>
    <w:rsid w:val="35E44278"/>
    <w:rsid w:val="3611566F"/>
    <w:rsid w:val="36252993"/>
    <w:rsid w:val="368C2B13"/>
    <w:rsid w:val="36A727AD"/>
    <w:rsid w:val="36CD07B0"/>
    <w:rsid w:val="36CE57C7"/>
    <w:rsid w:val="36E84E34"/>
    <w:rsid w:val="3745134E"/>
    <w:rsid w:val="375C57D7"/>
    <w:rsid w:val="378078FE"/>
    <w:rsid w:val="37C74DD6"/>
    <w:rsid w:val="37CA7049"/>
    <w:rsid w:val="37DD651E"/>
    <w:rsid w:val="38474D1C"/>
    <w:rsid w:val="3853699C"/>
    <w:rsid w:val="38817DB3"/>
    <w:rsid w:val="388F41CD"/>
    <w:rsid w:val="38AD772A"/>
    <w:rsid w:val="38BA113F"/>
    <w:rsid w:val="38DF2BFE"/>
    <w:rsid w:val="39013B60"/>
    <w:rsid w:val="39054468"/>
    <w:rsid w:val="391E58E2"/>
    <w:rsid w:val="394B1C88"/>
    <w:rsid w:val="39684D9F"/>
    <w:rsid w:val="398F20F0"/>
    <w:rsid w:val="39DE56A8"/>
    <w:rsid w:val="39F97BC0"/>
    <w:rsid w:val="3A070D59"/>
    <w:rsid w:val="3A135075"/>
    <w:rsid w:val="3A801FE7"/>
    <w:rsid w:val="3A8424B5"/>
    <w:rsid w:val="3AB31D0C"/>
    <w:rsid w:val="3ACD164B"/>
    <w:rsid w:val="3B266424"/>
    <w:rsid w:val="3B3E081B"/>
    <w:rsid w:val="3B4A3B53"/>
    <w:rsid w:val="3B932077"/>
    <w:rsid w:val="3BE20E3F"/>
    <w:rsid w:val="3BF47021"/>
    <w:rsid w:val="3C130981"/>
    <w:rsid w:val="3C371097"/>
    <w:rsid w:val="3C923082"/>
    <w:rsid w:val="3CD2366A"/>
    <w:rsid w:val="3D0354C7"/>
    <w:rsid w:val="3D5D27E5"/>
    <w:rsid w:val="3D7642C9"/>
    <w:rsid w:val="3D7B79B6"/>
    <w:rsid w:val="3DB03D12"/>
    <w:rsid w:val="3DDA6D42"/>
    <w:rsid w:val="3E0A19C3"/>
    <w:rsid w:val="3E0B17C8"/>
    <w:rsid w:val="3E7347F4"/>
    <w:rsid w:val="3EDE67A7"/>
    <w:rsid w:val="3EF56F74"/>
    <w:rsid w:val="3EF83C43"/>
    <w:rsid w:val="3EFF7689"/>
    <w:rsid w:val="3F01664D"/>
    <w:rsid w:val="3F175FC8"/>
    <w:rsid w:val="3F360011"/>
    <w:rsid w:val="3F741743"/>
    <w:rsid w:val="3F9B5F77"/>
    <w:rsid w:val="3F9E6E2A"/>
    <w:rsid w:val="3FAE0740"/>
    <w:rsid w:val="3FD010A5"/>
    <w:rsid w:val="3FD129B7"/>
    <w:rsid w:val="3FD40385"/>
    <w:rsid w:val="40217C49"/>
    <w:rsid w:val="40380FA3"/>
    <w:rsid w:val="40725E8B"/>
    <w:rsid w:val="40850DCD"/>
    <w:rsid w:val="40A53E0D"/>
    <w:rsid w:val="40D7456D"/>
    <w:rsid w:val="41450024"/>
    <w:rsid w:val="41687FE9"/>
    <w:rsid w:val="41AC1D9C"/>
    <w:rsid w:val="41AE54F1"/>
    <w:rsid w:val="4242619A"/>
    <w:rsid w:val="424D4C79"/>
    <w:rsid w:val="429273B3"/>
    <w:rsid w:val="42B20782"/>
    <w:rsid w:val="42E8146B"/>
    <w:rsid w:val="430D1D3A"/>
    <w:rsid w:val="43DF1CE9"/>
    <w:rsid w:val="43E44EE1"/>
    <w:rsid w:val="443169A5"/>
    <w:rsid w:val="44917C93"/>
    <w:rsid w:val="44C7170D"/>
    <w:rsid w:val="4511367E"/>
    <w:rsid w:val="45F31D89"/>
    <w:rsid w:val="4611346C"/>
    <w:rsid w:val="46342EAF"/>
    <w:rsid w:val="466D796D"/>
    <w:rsid w:val="46B64674"/>
    <w:rsid w:val="46D41E44"/>
    <w:rsid w:val="46DF2E27"/>
    <w:rsid w:val="4717238C"/>
    <w:rsid w:val="47344D1B"/>
    <w:rsid w:val="47625EC6"/>
    <w:rsid w:val="47A47F89"/>
    <w:rsid w:val="47AE2F53"/>
    <w:rsid w:val="47FA55AA"/>
    <w:rsid w:val="4811231A"/>
    <w:rsid w:val="48156378"/>
    <w:rsid w:val="485433AD"/>
    <w:rsid w:val="48EC5F36"/>
    <w:rsid w:val="48ED31B2"/>
    <w:rsid w:val="490D4A45"/>
    <w:rsid w:val="49360A33"/>
    <w:rsid w:val="49446ABC"/>
    <w:rsid w:val="496938E0"/>
    <w:rsid w:val="49882B35"/>
    <w:rsid w:val="499E4119"/>
    <w:rsid w:val="49C50E28"/>
    <w:rsid w:val="4ACC602E"/>
    <w:rsid w:val="4AF05358"/>
    <w:rsid w:val="4B376AF3"/>
    <w:rsid w:val="4B3872E6"/>
    <w:rsid w:val="4B8523F6"/>
    <w:rsid w:val="4B970466"/>
    <w:rsid w:val="4BD14068"/>
    <w:rsid w:val="4CA149AE"/>
    <w:rsid w:val="4D107219"/>
    <w:rsid w:val="4D186E30"/>
    <w:rsid w:val="4D30690D"/>
    <w:rsid w:val="4D366489"/>
    <w:rsid w:val="4D374C67"/>
    <w:rsid w:val="4D5D58C0"/>
    <w:rsid w:val="4D924E52"/>
    <w:rsid w:val="4DF171E9"/>
    <w:rsid w:val="4DF51404"/>
    <w:rsid w:val="4E151E4F"/>
    <w:rsid w:val="4E5633F4"/>
    <w:rsid w:val="4E7740D9"/>
    <w:rsid w:val="4EAC0AFF"/>
    <w:rsid w:val="4EBD323F"/>
    <w:rsid w:val="4EC2021D"/>
    <w:rsid w:val="4ED81A88"/>
    <w:rsid w:val="4F786A18"/>
    <w:rsid w:val="4FF94A0E"/>
    <w:rsid w:val="50182280"/>
    <w:rsid w:val="502E7E01"/>
    <w:rsid w:val="504B1C2F"/>
    <w:rsid w:val="50683776"/>
    <w:rsid w:val="50A33341"/>
    <w:rsid w:val="50DC5F24"/>
    <w:rsid w:val="50FD13B2"/>
    <w:rsid w:val="511643DC"/>
    <w:rsid w:val="516C0756"/>
    <w:rsid w:val="51BA2417"/>
    <w:rsid w:val="51CD551C"/>
    <w:rsid w:val="521D41F0"/>
    <w:rsid w:val="522D3B9B"/>
    <w:rsid w:val="525D2CAE"/>
    <w:rsid w:val="52955D9E"/>
    <w:rsid w:val="52AE3CC1"/>
    <w:rsid w:val="52FE30BB"/>
    <w:rsid w:val="536E79E7"/>
    <w:rsid w:val="538265F1"/>
    <w:rsid w:val="538614B5"/>
    <w:rsid w:val="539A2E76"/>
    <w:rsid w:val="54122D56"/>
    <w:rsid w:val="546D7855"/>
    <w:rsid w:val="548F10EC"/>
    <w:rsid w:val="54A950D4"/>
    <w:rsid w:val="54CE2507"/>
    <w:rsid w:val="5506030E"/>
    <w:rsid w:val="55181CD2"/>
    <w:rsid w:val="55396BD9"/>
    <w:rsid w:val="554673FA"/>
    <w:rsid w:val="556D32BA"/>
    <w:rsid w:val="558471E4"/>
    <w:rsid w:val="55A85C36"/>
    <w:rsid w:val="55D01D97"/>
    <w:rsid w:val="561A3DF3"/>
    <w:rsid w:val="562312C7"/>
    <w:rsid w:val="563B3A53"/>
    <w:rsid w:val="564027E7"/>
    <w:rsid w:val="564C2D24"/>
    <w:rsid w:val="567922E4"/>
    <w:rsid w:val="570D62EC"/>
    <w:rsid w:val="57244B18"/>
    <w:rsid w:val="57970550"/>
    <w:rsid w:val="57AE53A3"/>
    <w:rsid w:val="57C063CF"/>
    <w:rsid w:val="57EF6871"/>
    <w:rsid w:val="582101C2"/>
    <w:rsid w:val="58240039"/>
    <w:rsid w:val="58420D1B"/>
    <w:rsid w:val="588D0679"/>
    <w:rsid w:val="588D6A39"/>
    <w:rsid w:val="58A60F1F"/>
    <w:rsid w:val="58B25F37"/>
    <w:rsid w:val="58EF448E"/>
    <w:rsid w:val="595A121E"/>
    <w:rsid w:val="595B513F"/>
    <w:rsid w:val="59A36873"/>
    <w:rsid w:val="59AA125B"/>
    <w:rsid w:val="59C75644"/>
    <w:rsid w:val="59ED39F8"/>
    <w:rsid w:val="5A0252FF"/>
    <w:rsid w:val="5A06224B"/>
    <w:rsid w:val="5A521031"/>
    <w:rsid w:val="5A670393"/>
    <w:rsid w:val="5A7D52EE"/>
    <w:rsid w:val="5A7D53A5"/>
    <w:rsid w:val="5A7F616E"/>
    <w:rsid w:val="5AA021A5"/>
    <w:rsid w:val="5ACF7C62"/>
    <w:rsid w:val="5AD66DD9"/>
    <w:rsid w:val="5AEA5BA8"/>
    <w:rsid w:val="5AF07FF7"/>
    <w:rsid w:val="5AF422E5"/>
    <w:rsid w:val="5B9B4D5B"/>
    <w:rsid w:val="5BB933AC"/>
    <w:rsid w:val="5BF26431"/>
    <w:rsid w:val="5C0A4681"/>
    <w:rsid w:val="5C215A71"/>
    <w:rsid w:val="5C6956CE"/>
    <w:rsid w:val="5CB925D4"/>
    <w:rsid w:val="5CF054D0"/>
    <w:rsid w:val="5CFD1474"/>
    <w:rsid w:val="5D074DD0"/>
    <w:rsid w:val="5D296445"/>
    <w:rsid w:val="5D2D7179"/>
    <w:rsid w:val="5D3A6218"/>
    <w:rsid w:val="5D426E22"/>
    <w:rsid w:val="5D661964"/>
    <w:rsid w:val="5D7B08F3"/>
    <w:rsid w:val="5D987FEB"/>
    <w:rsid w:val="5DCD6EAA"/>
    <w:rsid w:val="5DDB558D"/>
    <w:rsid w:val="5DE640EE"/>
    <w:rsid w:val="5E0060A2"/>
    <w:rsid w:val="5E1D0D4D"/>
    <w:rsid w:val="5E333D72"/>
    <w:rsid w:val="5E4D7057"/>
    <w:rsid w:val="5E5343F1"/>
    <w:rsid w:val="5E725DEA"/>
    <w:rsid w:val="5E7343AC"/>
    <w:rsid w:val="5E780DEA"/>
    <w:rsid w:val="5E7B7C15"/>
    <w:rsid w:val="5EAE31D2"/>
    <w:rsid w:val="5F4A4909"/>
    <w:rsid w:val="5F631FA8"/>
    <w:rsid w:val="5F6A7271"/>
    <w:rsid w:val="5F7716A9"/>
    <w:rsid w:val="5FC32CE5"/>
    <w:rsid w:val="601E63BB"/>
    <w:rsid w:val="60216BFC"/>
    <w:rsid w:val="604043A1"/>
    <w:rsid w:val="604568C2"/>
    <w:rsid w:val="60746EA7"/>
    <w:rsid w:val="60747037"/>
    <w:rsid w:val="61171BF3"/>
    <w:rsid w:val="61202E29"/>
    <w:rsid w:val="619573BA"/>
    <w:rsid w:val="61993C9D"/>
    <w:rsid w:val="62112067"/>
    <w:rsid w:val="622D1615"/>
    <w:rsid w:val="62A3276A"/>
    <w:rsid w:val="62F707AA"/>
    <w:rsid w:val="630B73DB"/>
    <w:rsid w:val="634441FB"/>
    <w:rsid w:val="637631BA"/>
    <w:rsid w:val="638B3B59"/>
    <w:rsid w:val="63BC2891"/>
    <w:rsid w:val="63DE260D"/>
    <w:rsid w:val="640C5FD2"/>
    <w:rsid w:val="64286AE0"/>
    <w:rsid w:val="64BE7110"/>
    <w:rsid w:val="64F44749"/>
    <w:rsid w:val="6528007E"/>
    <w:rsid w:val="652F3A1E"/>
    <w:rsid w:val="65423719"/>
    <w:rsid w:val="65507243"/>
    <w:rsid w:val="65576B9C"/>
    <w:rsid w:val="656027FF"/>
    <w:rsid w:val="659B5CD0"/>
    <w:rsid w:val="65AC6E0E"/>
    <w:rsid w:val="66457E51"/>
    <w:rsid w:val="664B6EE1"/>
    <w:rsid w:val="6680376E"/>
    <w:rsid w:val="66835A87"/>
    <w:rsid w:val="66C55742"/>
    <w:rsid w:val="66E1725B"/>
    <w:rsid w:val="66ED31EA"/>
    <w:rsid w:val="66FA6BC5"/>
    <w:rsid w:val="67054225"/>
    <w:rsid w:val="671D6D46"/>
    <w:rsid w:val="67255D7E"/>
    <w:rsid w:val="67264828"/>
    <w:rsid w:val="67610548"/>
    <w:rsid w:val="67757810"/>
    <w:rsid w:val="67926798"/>
    <w:rsid w:val="6794515D"/>
    <w:rsid w:val="67B564F1"/>
    <w:rsid w:val="67F244BE"/>
    <w:rsid w:val="67FD3C1D"/>
    <w:rsid w:val="681E79D5"/>
    <w:rsid w:val="683B08D2"/>
    <w:rsid w:val="684F3663"/>
    <w:rsid w:val="68A007EA"/>
    <w:rsid w:val="68EC3E79"/>
    <w:rsid w:val="691A3243"/>
    <w:rsid w:val="696C42BB"/>
    <w:rsid w:val="698A6B0F"/>
    <w:rsid w:val="69F125D7"/>
    <w:rsid w:val="6A081E29"/>
    <w:rsid w:val="6A5544F2"/>
    <w:rsid w:val="6A774727"/>
    <w:rsid w:val="6A774D43"/>
    <w:rsid w:val="6A782EAA"/>
    <w:rsid w:val="6B704279"/>
    <w:rsid w:val="6BF6773C"/>
    <w:rsid w:val="6C107C06"/>
    <w:rsid w:val="6C950849"/>
    <w:rsid w:val="6CA25EFF"/>
    <w:rsid w:val="6CCB7C26"/>
    <w:rsid w:val="6CE74A79"/>
    <w:rsid w:val="6CF26EBD"/>
    <w:rsid w:val="6D020EA1"/>
    <w:rsid w:val="6D713CB4"/>
    <w:rsid w:val="6DC64251"/>
    <w:rsid w:val="6DC66137"/>
    <w:rsid w:val="6DCF6E88"/>
    <w:rsid w:val="6DF050DA"/>
    <w:rsid w:val="6E0F1211"/>
    <w:rsid w:val="6E366227"/>
    <w:rsid w:val="6E4A41DB"/>
    <w:rsid w:val="6E805EC6"/>
    <w:rsid w:val="6EA61A1E"/>
    <w:rsid w:val="6F217770"/>
    <w:rsid w:val="6F3C23D3"/>
    <w:rsid w:val="6F5C1702"/>
    <w:rsid w:val="6F6F6B1E"/>
    <w:rsid w:val="6F8F3C60"/>
    <w:rsid w:val="6F9B25C1"/>
    <w:rsid w:val="6FBD0858"/>
    <w:rsid w:val="6FC51A69"/>
    <w:rsid w:val="6FCD7813"/>
    <w:rsid w:val="701D2501"/>
    <w:rsid w:val="70271455"/>
    <w:rsid w:val="702A45E9"/>
    <w:rsid w:val="703D6838"/>
    <w:rsid w:val="70554EF2"/>
    <w:rsid w:val="70832FE8"/>
    <w:rsid w:val="708B07F2"/>
    <w:rsid w:val="708D502C"/>
    <w:rsid w:val="70B843DE"/>
    <w:rsid w:val="70BC3E24"/>
    <w:rsid w:val="70BF0634"/>
    <w:rsid w:val="70EC71F4"/>
    <w:rsid w:val="715D1223"/>
    <w:rsid w:val="715E3D72"/>
    <w:rsid w:val="718503F1"/>
    <w:rsid w:val="71D82851"/>
    <w:rsid w:val="721022F4"/>
    <w:rsid w:val="722F0050"/>
    <w:rsid w:val="72304D4A"/>
    <w:rsid w:val="7266626A"/>
    <w:rsid w:val="728410B5"/>
    <w:rsid w:val="72CE3B02"/>
    <w:rsid w:val="72E1752D"/>
    <w:rsid w:val="730E0ECD"/>
    <w:rsid w:val="73515D72"/>
    <w:rsid w:val="73A015C2"/>
    <w:rsid w:val="73A913CF"/>
    <w:rsid w:val="73D7778B"/>
    <w:rsid w:val="73EB1497"/>
    <w:rsid w:val="73FE13AD"/>
    <w:rsid w:val="74000A47"/>
    <w:rsid w:val="7426367E"/>
    <w:rsid w:val="742B0F6A"/>
    <w:rsid w:val="745E4171"/>
    <w:rsid w:val="74885606"/>
    <w:rsid w:val="74C13834"/>
    <w:rsid w:val="74DB6356"/>
    <w:rsid w:val="74EE0DD1"/>
    <w:rsid w:val="751115BE"/>
    <w:rsid w:val="751E4D3F"/>
    <w:rsid w:val="754C5922"/>
    <w:rsid w:val="75740E00"/>
    <w:rsid w:val="758704E1"/>
    <w:rsid w:val="75915199"/>
    <w:rsid w:val="75C54C69"/>
    <w:rsid w:val="760A5675"/>
    <w:rsid w:val="76290495"/>
    <w:rsid w:val="763A080C"/>
    <w:rsid w:val="76E04D2E"/>
    <w:rsid w:val="76E36096"/>
    <w:rsid w:val="76EB5B39"/>
    <w:rsid w:val="7714768C"/>
    <w:rsid w:val="772E2505"/>
    <w:rsid w:val="776D4E00"/>
    <w:rsid w:val="776F4F23"/>
    <w:rsid w:val="778C04D2"/>
    <w:rsid w:val="77AB56B0"/>
    <w:rsid w:val="77BD40B0"/>
    <w:rsid w:val="77D049F7"/>
    <w:rsid w:val="78043870"/>
    <w:rsid w:val="780B0378"/>
    <w:rsid w:val="78156E78"/>
    <w:rsid w:val="782D5EAF"/>
    <w:rsid w:val="78402D83"/>
    <w:rsid w:val="786302A1"/>
    <w:rsid w:val="789F1175"/>
    <w:rsid w:val="78A15763"/>
    <w:rsid w:val="78B837B1"/>
    <w:rsid w:val="78B8572B"/>
    <w:rsid w:val="78BD00A1"/>
    <w:rsid w:val="78D07545"/>
    <w:rsid w:val="7900231D"/>
    <w:rsid w:val="7931734A"/>
    <w:rsid w:val="79393642"/>
    <w:rsid w:val="794C7BF3"/>
    <w:rsid w:val="79547B36"/>
    <w:rsid w:val="79E77CA4"/>
    <w:rsid w:val="79EA17F6"/>
    <w:rsid w:val="7A090A5F"/>
    <w:rsid w:val="7A282B93"/>
    <w:rsid w:val="7A3A6320"/>
    <w:rsid w:val="7A787D65"/>
    <w:rsid w:val="7A7A28DD"/>
    <w:rsid w:val="7AC35818"/>
    <w:rsid w:val="7ACA792A"/>
    <w:rsid w:val="7ADB38D4"/>
    <w:rsid w:val="7B062E5E"/>
    <w:rsid w:val="7B0F1912"/>
    <w:rsid w:val="7B6B2A12"/>
    <w:rsid w:val="7B7E5287"/>
    <w:rsid w:val="7BE1442B"/>
    <w:rsid w:val="7C630ABA"/>
    <w:rsid w:val="7CAE4A87"/>
    <w:rsid w:val="7CCA0991"/>
    <w:rsid w:val="7CD9053C"/>
    <w:rsid w:val="7D1B39C3"/>
    <w:rsid w:val="7D2A70DF"/>
    <w:rsid w:val="7D9B693F"/>
    <w:rsid w:val="7DC870FB"/>
    <w:rsid w:val="7DD2691C"/>
    <w:rsid w:val="7DFB4DE9"/>
    <w:rsid w:val="7E3563A1"/>
    <w:rsid w:val="7E9326F9"/>
    <w:rsid w:val="7EAD141A"/>
    <w:rsid w:val="7EE20452"/>
    <w:rsid w:val="7F341285"/>
    <w:rsid w:val="7F395D9C"/>
    <w:rsid w:val="7F6A4AF7"/>
    <w:rsid w:val="7F8B03C8"/>
    <w:rsid w:val="7FA56E15"/>
    <w:rsid w:val="7FC34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rPr>
  </w:style>
  <w:style w:type="character" w:customStyle="1" w:styleId="137">
    <w:name w:val="不明显强调1"/>
    <w:basedOn w:val="52"/>
    <w:qFormat/>
    <w:uiPriority w:val="19"/>
    <w:rPr>
      <w:i/>
      <w:iCs/>
      <w:color w:val="3F3F3F" w:themeColor="text1" w:themeTint="BF"/>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3F3F3F" w:themeColor="text1" w:themeTint="BF"/>
    </w:rPr>
  </w:style>
  <w:style w:type="character" w:customStyle="1" w:styleId="147">
    <w:name w:val="Intense Emphasis1"/>
    <w:basedOn w:val="52"/>
    <w:qFormat/>
    <w:uiPriority w:val="21"/>
    <w:rPr>
      <w:i/>
      <w:iCs/>
      <w:color w:val="5B9BD5" w:themeColor="accent1"/>
    </w:rPr>
  </w:style>
  <w:style w:type="character" w:customStyle="1" w:styleId="148">
    <w:name w:val="Subtle Reference1"/>
    <w:basedOn w:val="52"/>
    <w:qFormat/>
    <w:uiPriority w:val="31"/>
    <w:rPr>
      <w:smallCaps/>
      <w:color w:val="585858" w:themeColor="text1" w:themeTint="A6"/>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 w:type="paragraph" w:customStyle="1" w:styleId="162">
    <w:name w:val="Default"/>
    <w:unhideWhenUsed/>
    <w:qFormat/>
    <w:uiPriority w:val="99"/>
    <w:pPr>
      <w:widowControl w:val="0"/>
      <w:autoSpaceDE w:val="0"/>
      <w:autoSpaceDN w:val="0"/>
      <w:adjustRightInd w:val="0"/>
      <w:spacing w:beforeLines="0" w:afterLines="0"/>
    </w:pPr>
    <w:rPr>
      <w:rFonts w:hint="default" w:ascii="Arial" w:hAnsi="Arial" w:eastAsiaTheme="minorEastAsia" w:cstheme="minorBidi"/>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B00527F8-4F8F-44CB-A8BD-E4F17CA10FEF}">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3</Pages>
  <Words>1002</Words>
  <Characters>5713</Characters>
  <Lines>47</Lines>
  <Paragraphs>13</Paragraphs>
  <TotalTime>0</TotalTime>
  <ScaleCrop>false</ScaleCrop>
  <LinksUpToDate>false</LinksUpToDate>
  <CharactersWithSpaces>6702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2021-09-22T07:32:00Z</dcterms:created>
  <dc:creator>ZTE Corporation</dc:creator>
  <cp:lastModifiedBy>ZTE</cp:lastModifiedBy>
  <cp:lastPrinted>2018-04-07T03:05:00Z</cp:lastPrinted>
  <dcterms:modified xsi:type="dcterms:W3CDTF">2022-09-29T12:22:45Z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